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A0186" w14:textId="77777777" w:rsidR="005012CC" w:rsidRDefault="001977BF" w:rsidP="00B23DB4">
      <w:pPr>
        <w:rPr>
          <w:b/>
        </w:rPr>
      </w:pPr>
      <w:r>
        <w:rPr>
          <w:b/>
        </w:rPr>
        <w:t xml:space="preserve">1) Medium Combustion Plants </w:t>
      </w:r>
    </w:p>
    <w:p w14:paraId="4F09107A" w14:textId="77777777" w:rsidR="00602EC6" w:rsidRDefault="00602EC6" w:rsidP="005012CC"/>
    <w:p w14:paraId="29C9E4E7" w14:textId="77777777" w:rsidR="005012CC" w:rsidRPr="00056142" w:rsidRDefault="00E37560" w:rsidP="00056142">
      <w:pPr>
        <w:pStyle w:val="ListParagraph"/>
        <w:numPr>
          <w:ilvl w:val="1"/>
          <w:numId w:val="7"/>
        </w:numPr>
        <w:rPr>
          <w:b/>
        </w:rPr>
      </w:pPr>
      <w:r>
        <w:rPr>
          <w:b/>
        </w:rPr>
        <w:t xml:space="preserve"> </w:t>
      </w:r>
      <w:r w:rsidR="00602EC6" w:rsidRPr="00056142">
        <w:rPr>
          <w:b/>
        </w:rPr>
        <w:t>What is in scope of the M</w:t>
      </w:r>
      <w:r w:rsidR="00736669">
        <w:rPr>
          <w:b/>
        </w:rPr>
        <w:t xml:space="preserve">edium </w:t>
      </w:r>
      <w:r w:rsidR="00602EC6" w:rsidRPr="00056142">
        <w:rPr>
          <w:b/>
        </w:rPr>
        <w:t>C</w:t>
      </w:r>
      <w:r w:rsidR="00736669">
        <w:rPr>
          <w:b/>
        </w:rPr>
        <w:t xml:space="preserve">ombustion </w:t>
      </w:r>
      <w:r w:rsidR="00602EC6" w:rsidRPr="00056142">
        <w:rPr>
          <w:b/>
        </w:rPr>
        <w:t>P</w:t>
      </w:r>
      <w:r w:rsidR="00736669">
        <w:rPr>
          <w:b/>
        </w:rPr>
        <w:t xml:space="preserve">lants </w:t>
      </w:r>
      <w:r w:rsidR="00602EC6" w:rsidRPr="00056142">
        <w:rPr>
          <w:b/>
        </w:rPr>
        <w:t>D</w:t>
      </w:r>
      <w:r w:rsidR="00736669">
        <w:rPr>
          <w:b/>
        </w:rPr>
        <w:t>irective (MCPD)</w:t>
      </w:r>
      <w:r w:rsidR="00602EC6" w:rsidRPr="00056142">
        <w:rPr>
          <w:b/>
        </w:rPr>
        <w:t>?</w:t>
      </w:r>
    </w:p>
    <w:p w14:paraId="7B8635B6" w14:textId="26916A63" w:rsidR="0015393C" w:rsidRDefault="001977BF" w:rsidP="00B23DB4">
      <w:r>
        <w:t>Th</w:t>
      </w:r>
      <w:r w:rsidRPr="0015393C">
        <w:t>e regulations</w:t>
      </w:r>
      <w:r>
        <w:t xml:space="preserve"> will give effect to the Directive requirements, which</w:t>
      </w:r>
      <w:r w:rsidR="0015393C" w:rsidRPr="0015393C">
        <w:t xml:space="preserve"> appl</w:t>
      </w:r>
      <w:r>
        <w:t>y</w:t>
      </w:r>
      <w:r w:rsidR="002A6A0C">
        <w:t xml:space="preserve"> emission controls</w:t>
      </w:r>
      <w:r w:rsidR="0015393C" w:rsidRPr="0015393C">
        <w:t xml:space="preserve"> to combustion plants with a rated thermal input equal to or greater than 1 MW</w:t>
      </w:r>
      <w:r w:rsidR="00FD098F">
        <w:t>th</w:t>
      </w:r>
      <w:r w:rsidR="0015393C" w:rsidRPr="0015393C">
        <w:t xml:space="preserve"> and less than 5</w:t>
      </w:r>
      <w:r>
        <w:t>0 MW</w:t>
      </w:r>
      <w:r w:rsidR="00FD098F">
        <w:t>th</w:t>
      </w:r>
      <w:r>
        <w:t xml:space="preserve"> (MCPs)</w:t>
      </w:r>
      <w:r w:rsidR="0015393C" w:rsidRPr="0015393C">
        <w:t>, irrespective of the type of fuel they use</w:t>
      </w:r>
      <w:r w:rsidR="000E2089">
        <w:t xml:space="preserve"> (which could include </w:t>
      </w:r>
      <w:r w:rsidR="00F8442E">
        <w:t xml:space="preserve">solid, liquid or gaseous </w:t>
      </w:r>
      <w:r w:rsidR="000E2089">
        <w:t>waste)</w:t>
      </w:r>
      <w:r w:rsidR="0015393C" w:rsidRPr="0015393C">
        <w:t>.</w:t>
      </w:r>
      <w:r w:rsidR="0015393C">
        <w:t xml:space="preserve">  However, there are </w:t>
      </w:r>
      <w:r w:rsidR="002A6A0C">
        <w:t xml:space="preserve">a number of </w:t>
      </w:r>
      <w:r w:rsidR="000D5DA7">
        <w:t xml:space="preserve">exclusions </w:t>
      </w:r>
      <w:r w:rsidR="002A6A0C">
        <w:t>(listed under Article 2 of the Directive)</w:t>
      </w:r>
      <w:r w:rsidR="000D5DA7">
        <w:t xml:space="preserve">, such as </w:t>
      </w:r>
      <w:r w:rsidR="008C34F4">
        <w:t xml:space="preserve">for </w:t>
      </w:r>
      <w:r w:rsidR="000D5DA7">
        <w:t xml:space="preserve">plant subject to Chapter III </w:t>
      </w:r>
      <w:r w:rsidR="0083290E">
        <w:t xml:space="preserve">(Large Combustion Plant) </w:t>
      </w:r>
      <w:r w:rsidR="000D5DA7">
        <w:t xml:space="preserve">or Chapter IV </w:t>
      </w:r>
      <w:r w:rsidR="001F08FD">
        <w:t xml:space="preserve">(waste incineration/co-incineration plant) </w:t>
      </w:r>
      <w:r w:rsidR="000D5DA7">
        <w:t>of the Industrial Emissions Directive</w:t>
      </w:r>
      <w:r w:rsidR="00F8442E">
        <w:t>, and for specific types of plants</w:t>
      </w:r>
      <w:r w:rsidR="002A6A0C">
        <w:t>.</w:t>
      </w:r>
      <w:r w:rsidR="003F737A">
        <w:t xml:space="preserve">  </w:t>
      </w:r>
    </w:p>
    <w:p w14:paraId="44849535" w14:textId="77777777" w:rsidR="009D628D" w:rsidRDefault="009D628D" w:rsidP="00B23DB4"/>
    <w:p w14:paraId="66C786F1" w14:textId="77777777" w:rsidR="002A6A0C" w:rsidRPr="00056142" w:rsidRDefault="00E37560" w:rsidP="00056142">
      <w:pPr>
        <w:pStyle w:val="ListParagraph"/>
        <w:numPr>
          <w:ilvl w:val="1"/>
          <w:numId w:val="7"/>
        </w:numPr>
        <w:rPr>
          <w:b/>
        </w:rPr>
      </w:pPr>
      <w:r>
        <w:rPr>
          <w:b/>
        </w:rPr>
        <w:t xml:space="preserve"> </w:t>
      </w:r>
      <w:r w:rsidR="002A6A0C" w:rsidRPr="00056142">
        <w:rPr>
          <w:b/>
        </w:rPr>
        <w:t xml:space="preserve">What will be required </w:t>
      </w:r>
      <w:r w:rsidR="001F08FD" w:rsidRPr="00056142">
        <w:rPr>
          <w:b/>
        </w:rPr>
        <w:t xml:space="preserve">in order </w:t>
      </w:r>
      <w:r w:rsidR="002A6A0C" w:rsidRPr="00056142">
        <w:rPr>
          <w:b/>
        </w:rPr>
        <w:t>to comply with the MCPD?</w:t>
      </w:r>
    </w:p>
    <w:p w14:paraId="0F90C743" w14:textId="77777777" w:rsidR="001F08FD" w:rsidRDefault="002A6A0C" w:rsidP="002A6A0C">
      <w:r>
        <w:t>Operators will need to ensure</w:t>
      </w:r>
      <w:r w:rsidR="001F08FD">
        <w:t>:</w:t>
      </w:r>
    </w:p>
    <w:p w14:paraId="4039048C" w14:textId="77777777" w:rsidR="001F08FD" w:rsidRDefault="005A2F48" w:rsidP="001F08FD">
      <w:pPr>
        <w:pStyle w:val="ListParagraph"/>
        <w:numPr>
          <w:ilvl w:val="0"/>
          <w:numId w:val="6"/>
        </w:numPr>
      </w:pPr>
      <w:r>
        <w:t>They hold a permit for operational</w:t>
      </w:r>
      <w:r w:rsidR="001F08FD">
        <w:t xml:space="preserve"> plant</w:t>
      </w:r>
      <w:r w:rsidR="002A6A0C">
        <w:t xml:space="preserve"> by the relevant deadlines (the earliest is</w:t>
      </w:r>
      <w:r w:rsidR="001F08FD">
        <w:t xml:space="preserve"> 20 December 2018 for new plant</w:t>
      </w:r>
      <w:r w:rsidR="008B0C38">
        <w:t>);</w:t>
      </w:r>
    </w:p>
    <w:p w14:paraId="667032F8" w14:textId="77777777" w:rsidR="001F08FD" w:rsidRDefault="001F08FD" w:rsidP="001F08FD">
      <w:pPr>
        <w:pStyle w:val="ListParagraph"/>
        <w:numPr>
          <w:ilvl w:val="0"/>
          <w:numId w:val="6"/>
        </w:numPr>
      </w:pPr>
      <w:r>
        <w:t xml:space="preserve">they </w:t>
      </w:r>
      <w:r w:rsidR="002A6A0C">
        <w:t>monitor emissions to demonstrate compliance with the applicable emission limit values</w:t>
      </w:r>
      <w:r>
        <w:t>; and</w:t>
      </w:r>
    </w:p>
    <w:p w14:paraId="79603233" w14:textId="77777777" w:rsidR="002A6A0C" w:rsidRDefault="001F08FD" w:rsidP="001F08FD">
      <w:pPr>
        <w:pStyle w:val="ListParagraph"/>
        <w:numPr>
          <w:ilvl w:val="0"/>
          <w:numId w:val="6"/>
        </w:numPr>
      </w:pPr>
      <w:r>
        <w:t xml:space="preserve">they </w:t>
      </w:r>
      <w:r w:rsidR="002A6A0C">
        <w:t>keep records of operation of the plant for at least six years to demonstrate compliance.</w:t>
      </w:r>
    </w:p>
    <w:p w14:paraId="7A72D41F" w14:textId="77777777" w:rsidR="002A6A0C" w:rsidRDefault="002A6A0C" w:rsidP="002A6A0C"/>
    <w:p w14:paraId="2240A45F" w14:textId="77777777" w:rsidR="002A6A0C" w:rsidRPr="00056142" w:rsidRDefault="00CB55BA" w:rsidP="00056142">
      <w:pPr>
        <w:pStyle w:val="ListParagraph"/>
        <w:numPr>
          <w:ilvl w:val="1"/>
          <w:numId w:val="7"/>
        </w:numPr>
        <w:rPr>
          <w:b/>
        </w:rPr>
      </w:pPr>
      <w:r>
        <w:rPr>
          <w:b/>
        </w:rPr>
        <w:t xml:space="preserve"> </w:t>
      </w:r>
      <w:r w:rsidR="002A6A0C" w:rsidRPr="00056142">
        <w:rPr>
          <w:b/>
        </w:rPr>
        <w:t>What plant benefit from transitional arrangements?</w:t>
      </w:r>
    </w:p>
    <w:p w14:paraId="24EE94C6" w14:textId="1869CA9E" w:rsidR="002A6A0C" w:rsidRDefault="00F8442E" w:rsidP="002A6A0C">
      <w:r>
        <w:t>P</w:t>
      </w:r>
      <w:r w:rsidRPr="00F8442E">
        <w:t>lant put into operation before 20 December 2018 or for which a permit was granted before 19 December 2017 pursuant to national legislation provided that the plant is put into operation no later than 20 December 2018</w:t>
      </w:r>
      <w:r>
        <w:t xml:space="preserve"> are defined as</w:t>
      </w:r>
      <w:r w:rsidR="002A6A0C">
        <w:t xml:space="preserve"> ‘existing plants’ and benefit from later dates for permitting and compliance with emission limit values. </w:t>
      </w:r>
    </w:p>
    <w:p w14:paraId="6FCE359C" w14:textId="77777777" w:rsidR="001F5F49" w:rsidRDefault="001F5F49" w:rsidP="002A6A0C"/>
    <w:p w14:paraId="54EB9F07" w14:textId="77777777" w:rsidR="001F5F49" w:rsidRPr="00056142" w:rsidRDefault="00CB55BA" w:rsidP="00056142">
      <w:pPr>
        <w:pStyle w:val="ListParagraph"/>
        <w:numPr>
          <w:ilvl w:val="1"/>
          <w:numId w:val="7"/>
        </w:numPr>
        <w:rPr>
          <w:b/>
        </w:rPr>
      </w:pPr>
      <w:r>
        <w:rPr>
          <w:b/>
        </w:rPr>
        <w:t xml:space="preserve"> </w:t>
      </w:r>
      <w:r w:rsidR="001F5F49" w:rsidRPr="00056142">
        <w:rPr>
          <w:b/>
        </w:rPr>
        <w:t>What do operators need to do if an MCP is exempt from the ELVs set out in Annex II of the Directive but it requires a permit?</w:t>
      </w:r>
    </w:p>
    <w:p w14:paraId="6E40A509" w14:textId="77777777" w:rsidR="001F5F49" w:rsidRDefault="001F5F49" w:rsidP="002A6A0C">
      <w:r>
        <w:t xml:space="preserve">The operation of the MCP will require a permit from the applicable date in the draft regulations and the operator should make an application in sufficient time to ensure this requirement can be met.  A pre-application discussion with the regulator and/or examination of the regulator’s guidance may be helpful in this regard.  The operator will need to include a signed declaration in their permit application, in accordance with Annex I of the Directive.  </w:t>
      </w:r>
    </w:p>
    <w:p w14:paraId="41082DC6" w14:textId="77777777" w:rsidR="00CD6FF3" w:rsidRDefault="00CD6FF3" w:rsidP="002A6A0C"/>
    <w:p w14:paraId="71D0E728" w14:textId="77777777" w:rsidR="00CD6FF3" w:rsidRPr="00056142" w:rsidRDefault="00CB55BA" w:rsidP="00056142">
      <w:pPr>
        <w:pStyle w:val="ListParagraph"/>
        <w:numPr>
          <w:ilvl w:val="1"/>
          <w:numId w:val="7"/>
        </w:numPr>
        <w:rPr>
          <w:b/>
        </w:rPr>
      </w:pPr>
      <w:r>
        <w:rPr>
          <w:b/>
        </w:rPr>
        <w:t xml:space="preserve"> </w:t>
      </w:r>
      <w:r w:rsidR="00CD6FF3" w:rsidRPr="00056142">
        <w:rPr>
          <w:b/>
        </w:rPr>
        <w:t>Which mobile plants are in scope of the MCPD?</w:t>
      </w:r>
    </w:p>
    <w:p w14:paraId="7640EEC0" w14:textId="4B00485F" w:rsidR="00CD6FF3" w:rsidRDefault="00CD6FF3" w:rsidP="00CD6FF3">
      <w:r>
        <w:t>The MCPD exempts plants</w:t>
      </w:r>
      <w:r w:rsidRPr="006172FF">
        <w:t xml:space="preserve"> used in the propulsion of a vehicle, ship or aircraft</w:t>
      </w:r>
      <w:r>
        <w:t xml:space="preserve">, as well as </w:t>
      </w:r>
      <w:r w:rsidR="004D7937">
        <w:t xml:space="preserve">engines </w:t>
      </w:r>
      <w:r>
        <w:t xml:space="preserve">covered by </w:t>
      </w:r>
      <w:r w:rsidRPr="00AA5EF0">
        <w:t>Directive 97/68/EC</w:t>
      </w:r>
      <w:r>
        <w:t xml:space="preserve"> </w:t>
      </w:r>
      <w:r w:rsidRPr="00AA5EF0">
        <w:t>relating to non-road mobile machinery</w:t>
      </w:r>
      <w:r>
        <w:t xml:space="preserve">.  </w:t>
      </w:r>
      <w:r w:rsidR="004D7937">
        <w:t>E</w:t>
      </w:r>
      <w:r>
        <w:t xml:space="preserve">ngines </w:t>
      </w:r>
      <w:r w:rsidR="004D7937">
        <w:t xml:space="preserve">are deemed covered by </w:t>
      </w:r>
      <w:r w:rsidRPr="00AA5EF0">
        <w:t>Directive 97/68/EC</w:t>
      </w:r>
      <w:r>
        <w:t xml:space="preserve"> (or by </w:t>
      </w:r>
      <w:r w:rsidRPr="00AA5EF0">
        <w:t>Regulation 2016/1628</w:t>
      </w:r>
      <w:r>
        <w:t>, which replaces the previous directive)</w:t>
      </w:r>
      <w:r>
        <w:rPr>
          <w:rStyle w:val="FootnoteReference"/>
        </w:rPr>
        <w:footnoteReference w:id="1"/>
      </w:r>
      <w:r>
        <w:t xml:space="preserve"> </w:t>
      </w:r>
      <w:r w:rsidR="004D7937">
        <w:t xml:space="preserve">and </w:t>
      </w:r>
      <w:r>
        <w:t>therefore exempt from the MCPD</w:t>
      </w:r>
      <w:r w:rsidR="004D7937">
        <w:t xml:space="preserve"> if they have been subject to placing on the market emission standards</w:t>
      </w:r>
      <w:r>
        <w:t>.  Any other mobile plants are in scope of the MCPD.</w:t>
      </w:r>
    </w:p>
    <w:p w14:paraId="34143A74" w14:textId="77777777" w:rsidR="00CD6FF3" w:rsidRDefault="00CD6FF3" w:rsidP="00CD6FF3">
      <w:pPr>
        <w:rPr>
          <w:b/>
        </w:rPr>
      </w:pPr>
    </w:p>
    <w:p w14:paraId="071353FA" w14:textId="77777777" w:rsidR="00CD6FF3" w:rsidRPr="00056142" w:rsidRDefault="00CB55BA" w:rsidP="00056142">
      <w:pPr>
        <w:pStyle w:val="ListParagraph"/>
        <w:numPr>
          <w:ilvl w:val="1"/>
          <w:numId w:val="7"/>
        </w:numPr>
        <w:rPr>
          <w:b/>
        </w:rPr>
      </w:pPr>
      <w:r>
        <w:rPr>
          <w:b/>
        </w:rPr>
        <w:t xml:space="preserve"> </w:t>
      </w:r>
      <w:r w:rsidR="00CD6FF3" w:rsidRPr="00056142">
        <w:rPr>
          <w:b/>
        </w:rPr>
        <w:t>How will mobile MCPs be permitted?</w:t>
      </w:r>
    </w:p>
    <w:p w14:paraId="0B895D83" w14:textId="77777777" w:rsidR="00CD6FF3" w:rsidRDefault="00CD6FF3" w:rsidP="002A6A0C">
      <w:r>
        <w:t xml:space="preserve">The plant operator must hold a permit and must comply with the permit conditions.  The operator will be required to notify the regulator before deployment, although there will be a procedure to enable urgent deployment.  Detailed rules are being developed in discussion with stakeholders and will be provided in guidance from the </w:t>
      </w:r>
      <w:r w:rsidR="0076161C">
        <w:t>regulator</w:t>
      </w:r>
      <w:r>
        <w:t xml:space="preserve">. </w:t>
      </w:r>
    </w:p>
    <w:p w14:paraId="2FD52D34" w14:textId="77777777" w:rsidR="0015393C" w:rsidRDefault="0015393C" w:rsidP="00B23DB4">
      <w:pPr>
        <w:rPr>
          <w:b/>
        </w:rPr>
      </w:pPr>
    </w:p>
    <w:p w14:paraId="2033E9BA" w14:textId="77777777" w:rsidR="008D36CD" w:rsidRPr="00056142" w:rsidRDefault="00CB55BA" w:rsidP="00056142">
      <w:pPr>
        <w:pStyle w:val="ListParagraph"/>
        <w:numPr>
          <w:ilvl w:val="1"/>
          <w:numId w:val="7"/>
        </w:numPr>
        <w:rPr>
          <w:b/>
        </w:rPr>
      </w:pPr>
      <w:r>
        <w:rPr>
          <w:b/>
        </w:rPr>
        <w:t xml:space="preserve"> </w:t>
      </w:r>
      <w:r w:rsidR="008D36CD" w:rsidRPr="00056142">
        <w:rPr>
          <w:b/>
        </w:rPr>
        <w:t>How will the operating hours criterion be applied to MCPs?</w:t>
      </w:r>
    </w:p>
    <w:p w14:paraId="029A4324" w14:textId="77777777" w:rsidR="00CD6FF3" w:rsidRPr="008D36CD" w:rsidRDefault="008D36CD" w:rsidP="00B23DB4">
      <w:r>
        <w:t xml:space="preserve">The draft regulations apply the </w:t>
      </w:r>
      <w:r w:rsidR="008B0C38">
        <w:t>criterion to individual</w:t>
      </w:r>
      <w:r w:rsidRPr="008D36CD">
        <w:t xml:space="preserve"> MCP</w:t>
      </w:r>
      <w:r w:rsidR="008B0C38">
        <w:t>s</w:t>
      </w:r>
      <w:r w:rsidRPr="008D36CD">
        <w:t>.</w:t>
      </w:r>
    </w:p>
    <w:p w14:paraId="730E62E3" w14:textId="77777777" w:rsidR="00CD6FF3" w:rsidRDefault="00CD6FF3" w:rsidP="00B23DB4">
      <w:pPr>
        <w:rPr>
          <w:b/>
        </w:rPr>
      </w:pPr>
    </w:p>
    <w:p w14:paraId="09F4A21F" w14:textId="77777777" w:rsidR="008D36CD" w:rsidRDefault="008D36CD" w:rsidP="00B23DB4">
      <w:pPr>
        <w:rPr>
          <w:b/>
        </w:rPr>
      </w:pPr>
    </w:p>
    <w:p w14:paraId="08FC28DA" w14:textId="77777777" w:rsidR="005012CC" w:rsidRDefault="001977BF" w:rsidP="00B23DB4">
      <w:pPr>
        <w:rPr>
          <w:b/>
        </w:rPr>
      </w:pPr>
      <w:r>
        <w:rPr>
          <w:b/>
        </w:rPr>
        <w:lastRenderedPageBreak/>
        <w:t>2) Generator controls</w:t>
      </w:r>
      <w:r w:rsidR="005012CC">
        <w:rPr>
          <w:b/>
        </w:rPr>
        <w:t xml:space="preserve"> </w:t>
      </w:r>
    </w:p>
    <w:p w14:paraId="4CB7DF67" w14:textId="77777777" w:rsidR="001B66F2" w:rsidRDefault="001B66F2" w:rsidP="005012CC">
      <w:pPr>
        <w:rPr>
          <w:b/>
        </w:rPr>
      </w:pPr>
    </w:p>
    <w:p w14:paraId="450252B3" w14:textId="77777777" w:rsidR="005012CC" w:rsidRDefault="005A0D78" w:rsidP="005012CC">
      <w:pPr>
        <w:rPr>
          <w:b/>
        </w:rPr>
      </w:pPr>
      <w:r>
        <w:rPr>
          <w:b/>
        </w:rPr>
        <w:t xml:space="preserve">2.1) </w:t>
      </w:r>
      <w:r w:rsidR="001977BF">
        <w:rPr>
          <w:b/>
        </w:rPr>
        <w:t xml:space="preserve">What is the scope of the </w:t>
      </w:r>
      <w:r w:rsidR="005012CC">
        <w:rPr>
          <w:b/>
        </w:rPr>
        <w:t>controls?</w:t>
      </w:r>
    </w:p>
    <w:p w14:paraId="052B8688" w14:textId="77777777" w:rsidR="00CD6FF3" w:rsidRDefault="00CD6FF3" w:rsidP="005012CC">
      <w:pPr>
        <w:rPr>
          <w:b/>
        </w:rPr>
      </w:pPr>
    </w:p>
    <w:p w14:paraId="71D4B94A" w14:textId="77777777" w:rsidR="001977BF" w:rsidRPr="001977BF" w:rsidRDefault="001977BF" w:rsidP="005012CC">
      <w:pPr>
        <w:rPr>
          <w:b/>
        </w:rPr>
      </w:pPr>
      <w:r w:rsidRPr="001977BF">
        <w:rPr>
          <w:b/>
        </w:rPr>
        <w:t>Generators</w:t>
      </w:r>
    </w:p>
    <w:p w14:paraId="08D53A55" w14:textId="64E542C5" w:rsidR="00F90314" w:rsidRDefault="005012CC" w:rsidP="005012CC">
      <w:r>
        <w:t xml:space="preserve">The </w:t>
      </w:r>
      <w:r w:rsidR="001F08FD">
        <w:t>regulations</w:t>
      </w:r>
      <w:r>
        <w:t xml:space="preserve"> </w:t>
      </w:r>
      <w:r w:rsidR="005047E6">
        <w:t xml:space="preserve">will </w:t>
      </w:r>
      <w:r>
        <w:t xml:space="preserve">apply </w:t>
      </w:r>
      <w:r w:rsidR="001F08FD">
        <w:t xml:space="preserve">controls </w:t>
      </w:r>
      <w:r>
        <w:t>to</w:t>
      </w:r>
      <w:r w:rsidR="00783117">
        <w:t xml:space="preserve"> combustion plant used to generate </w:t>
      </w:r>
      <w:r w:rsidR="00DB6DD5">
        <w:t>electricity (</w:t>
      </w:r>
      <w:r w:rsidR="00783117">
        <w:t>‘</w:t>
      </w:r>
      <w:r w:rsidR="00B61755">
        <w:t>G</w:t>
      </w:r>
      <w:r>
        <w:t>enerators</w:t>
      </w:r>
      <w:r w:rsidR="00783117">
        <w:t>’)</w:t>
      </w:r>
      <w:r>
        <w:t xml:space="preserve"> between 1 and 50MW</w:t>
      </w:r>
      <w:r w:rsidR="0098549E">
        <w:t>th</w:t>
      </w:r>
      <w:r w:rsidR="00E5554A">
        <w:t xml:space="preserve">; </w:t>
      </w:r>
      <w:r w:rsidR="007F10D8">
        <w:t>generators are single plants or a group of plants at a site which are operated by the same operator and for the same purpose, so in effect individual generators under 1MW</w:t>
      </w:r>
      <w:r w:rsidR="002B51A6">
        <w:t>th</w:t>
      </w:r>
      <w:r w:rsidR="007F10D8">
        <w:t xml:space="preserve"> can be in scope if they aggregate at a site to over 1MW</w:t>
      </w:r>
      <w:r w:rsidR="002B51A6">
        <w:t>th</w:t>
      </w:r>
      <w:r w:rsidR="007F10D8">
        <w:t>.  In addition, generators</w:t>
      </w:r>
      <w:r>
        <w:t xml:space="preserve"> </w:t>
      </w:r>
      <w:r w:rsidR="002E70E0">
        <w:t>that are</w:t>
      </w:r>
      <w:r w:rsidR="00D84ADD">
        <w:t xml:space="preserve"> </w:t>
      </w:r>
      <w:r>
        <w:t>under 1MW</w:t>
      </w:r>
      <w:r w:rsidR="0098549E">
        <w:t>th</w:t>
      </w:r>
      <w:r>
        <w:t xml:space="preserve"> </w:t>
      </w:r>
      <w:r w:rsidR="009B069B">
        <w:t xml:space="preserve">and </w:t>
      </w:r>
      <w:r w:rsidR="001F08FD" w:rsidRPr="001F08FD">
        <w:t>used for the purposes of delivering capacity agreement</w:t>
      </w:r>
      <w:r w:rsidR="008C34F4">
        <w:t xml:space="preserve"> obligations</w:t>
      </w:r>
      <w:r w:rsidR="005A0D78">
        <w:t xml:space="preserve"> </w:t>
      </w:r>
      <w:r w:rsidR="005047E6">
        <w:t xml:space="preserve">or </w:t>
      </w:r>
      <w:r w:rsidR="005A0D78">
        <w:t>balancing services</w:t>
      </w:r>
      <w:r w:rsidR="001F08FD" w:rsidRPr="001F08FD">
        <w:t xml:space="preserve"> </w:t>
      </w:r>
      <w:r>
        <w:t>are also in scope</w:t>
      </w:r>
      <w:r w:rsidR="002E70E0">
        <w:t>.</w:t>
      </w:r>
    </w:p>
    <w:p w14:paraId="772B7876" w14:textId="77777777" w:rsidR="00F90314" w:rsidRDefault="00F90314" w:rsidP="005012CC"/>
    <w:p w14:paraId="59B93FCD" w14:textId="77777777" w:rsidR="00F90314" w:rsidRPr="00F90314" w:rsidRDefault="00E85470" w:rsidP="005012CC">
      <w:pPr>
        <w:rPr>
          <w:b/>
        </w:rPr>
      </w:pPr>
      <w:r>
        <w:rPr>
          <w:b/>
        </w:rPr>
        <w:t>Mobile G</w:t>
      </w:r>
      <w:r w:rsidR="00F90314">
        <w:rPr>
          <w:b/>
        </w:rPr>
        <w:t>enerators and e</w:t>
      </w:r>
      <w:r>
        <w:rPr>
          <w:b/>
        </w:rPr>
        <w:t>xcluded G</w:t>
      </w:r>
      <w:r w:rsidR="00F90314" w:rsidRPr="00F90314">
        <w:rPr>
          <w:b/>
        </w:rPr>
        <w:t>enerators</w:t>
      </w:r>
    </w:p>
    <w:p w14:paraId="32D17BE8" w14:textId="4A3F6CBD" w:rsidR="008C34F4" w:rsidRDefault="00B61755" w:rsidP="005012CC">
      <w:r>
        <w:t>Mobile G</w:t>
      </w:r>
      <w:r w:rsidR="00F90314" w:rsidRPr="00F90314">
        <w:t xml:space="preserve">enerators are outside the scope of the </w:t>
      </w:r>
      <w:r>
        <w:t>G</w:t>
      </w:r>
      <w:r w:rsidR="00F90314" w:rsidRPr="00F90314">
        <w:t>enerator controls, unless attached to completed permanent infrastructure or to the electricity transm</w:t>
      </w:r>
      <w:r w:rsidR="00F90314">
        <w:t>ission/distribution system (</w:t>
      </w:r>
      <w:r w:rsidR="00F90314" w:rsidRPr="00F90314">
        <w:t>in effect providing a service that could otherwi</w:t>
      </w:r>
      <w:r>
        <w:t>se be provided by a stationary G</w:t>
      </w:r>
      <w:r w:rsidR="00F90314" w:rsidRPr="00F90314">
        <w:t>enerator</w:t>
      </w:r>
      <w:r w:rsidR="00F90314">
        <w:t>)</w:t>
      </w:r>
      <w:r w:rsidR="00F90314" w:rsidRPr="00F90314">
        <w:t xml:space="preserve">.  </w:t>
      </w:r>
      <w:r w:rsidR="008C34F4">
        <w:t>A range of</w:t>
      </w:r>
      <w:r w:rsidR="00F90314">
        <w:t xml:space="preserve"> other</w:t>
      </w:r>
      <w:r>
        <w:t xml:space="preserve"> Generators, termed ‘excluded G</w:t>
      </w:r>
      <w:r w:rsidR="008C34F4">
        <w:t xml:space="preserve">enerators’ in the </w:t>
      </w:r>
      <w:r w:rsidR="00F90314">
        <w:t xml:space="preserve">draft </w:t>
      </w:r>
      <w:r w:rsidR="008C34F4">
        <w:t>regulations, are also outside of scope.  These include b</w:t>
      </w:r>
      <w:r w:rsidR="008C34F4" w:rsidRPr="008C34F4">
        <w:t>ack</w:t>
      </w:r>
      <w:r w:rsidR="008C34F4">
        <w:t>-</w:t>
      </w:r>
      <w:r>
        <w:t>up G</w:t>
      </w:r>
      <w:r w:rsidR="008C34F4" w:rsidRPr="008C34F4">
        <w:t xml:space="preserve">enerators </w:t>
      </w:r>
      <w:r w:rsidR="008C34F4">
        <w:t>that</w:t>
      </w:r>
      <w:r w:rsidR="008C34F4" w:rsidRPr="008C34F4">
        <w:t xml:space="preserve"> are tested for</w:t>
      </w:r>
      <w:r>
        <w:t xml:space="preserve"> no more than 50 hours a year, G</w:t>
      </w:r>
      <w:r w:rsidR="008C34F4" w:rsidRPr="008C34F4">
        <w:t>enerators with a defined nuclear safety role in a nuclear site licence issued by the Off</w:t>
      </w:r>
      <w:r>
        <w:t>ice for Nuclear Regulation</w:t>
      </w:r>
      <w:r w:rsidR="001009C4">
        <w:t>,</w:t>
      </w:r>
      <w:r>
        <w:t xml:space="preserve"> G</w:t>
      </w:r>
      <w:r w:rsidR="008C34F4" w:rsidRPr="008C34F4">
        <w:t>enerators subject to the provisions of Chapter II or Chapter III of the Industrial Emissions Directive</w:t>
      </w:r>
      <w:r w:rsidR="001009C4">
        <w:t xml:space="preserve"> and Generators on offshore platforms and gas storage and unloading platforms</w:t>
      </w:r>
      <w:r w:rsidR="001977BF">
        <w:t xml:space="preserve">.  </w:t>
      </w:r>
      <w:r>
        <w:t>‘Back-up G</w:t>
      </w:r>
      <w:r w:rsidR="00F90314" w:rsidRPr="00F90314">
        <w:t>enerator’ is defined</w:t>
      </w:r>
      <w:r>
        <w:t xml:space="preserve"> in the draft regulations as a G</w:t>
      </w:r>
      <w:r w:rsidR="00F90314" w:rsidRPr="00F90314">
        <w:t xml:space="preserve">enerator operated for the sole purpose of maintaining power supply at a site during an on-site emergency.  </w:t>
      </w:r>
    </w:p>
    <w:p w14:paraId="298B445B" w14:textId="77777777" w:rsidR="001977BF" w:rsidRDefault="001977BF" w:rsidP="005012CC"/>
    <w:p w14:paraId="5ECA1F10" w14:textId="77777777" w:rsidR="008C34F4" w:rsidRPr="001977BF" w:rsidRDefault="00E85470" w:rsidP="005012CC">
      <w:pPr>
        <w:rPr>
          <w:b/>
        </w:rPr>
      </w:pPr>
      <w:r>
        <w:rPr>
          <w:b/>
        </w:rPr>
        <w:t>Specified G</w:t>
      </w:r>
      <w:r w:rsidR="001977BF" w:rsidRPr="001977BF">
        <w:rPr>
          <w:b/>
        </w:rPr>
        <w:t>enerators</w:t>
      </w:r>
    </w:p>
    <w:p w14:paraId="0B169802" w14:textId="2AE40F06" w:rsidR="00F90314" w:rsidRDefault="00B61755" w:rsidP="005012CC">
      <w:r>
        <w:t>Individual G</w:t>
      </w:r>
      <w:r w:rsidR="008C34F4" w:rsidRPr="008C34F4">
        <w:t>enerators wi</w:t>
      </w:r>
      <w:r>
        <w:t>thin scope, and collections of G</w:t>
      </w:r>
      <w:r w:rsidR="008C34F4" w:rsidRPr="008C34F4">
        <w:t>enerators within scope, are referr</w:t>
      </w:r>
      <w:r>
        <w:t>ed to as ‘Specified G</w:t>
      </w:r>
      <w:r w:rsidR="008C34F4">
        <w:t xml:space="preserve">enerators’ </w:t>
      </w:r>
      <w:r w:rsidR="003F737A">
        <w:t>(</w:t>
      </w:r>
      <w:r>
        <w:t>so a Specified Generator may be an individual G</w:t>
      </w:r>
      <w:r w:rsidR="008C34F4">
        <w:t>enerato</w:t>
      </w:r>
      <w:r>
        <w:t xml:space="preserve">r or it may be a collection of </w:t>
      </w:r>
      <w:r w:rsidR="00B96B52">
        <w:t xml:space="preserve">two or more </w:t>
      </w:r>
      <w:r>
        <w:t>G</w:t>
      </w:r>
      <w:r w:rsidR="008C34F4">
        <w:t>enerators, depending on the circumstances</w:t>
      </w:r>
      <w:r w:rsidR="003F737A">
        <w:t>)</w:t>
      </w:r>
      <w:r>
        <w:t xml:space="preserve">.  </w:t>
      </w:r>
      <w:r w:rsidR="00BE4BAA">
        <w:t>W</w:t>
      </w:r>
      <w:r>
        <w:t>here the Specified G</w:t>
      </w:r>
      <w:r w:rsidR="003F737A">
        <w:t xml:space="preserve">enerator is formed by a collection of </w:t>
      </w:r>
      <w:r>
        <w:t>two or more G</w:t>
      </w:r>
      <w:r w:rsidR="001977BF">
        <w:t xml:space="preserve">enerators </w:t>
      </w:r>
      <w:r w:rsidR="00B96B52">
        <w:t xml:space="preserve">(this happens where that collection of Generators is </w:t>
      </w:r>
      <w:r w:rsidR="001977BF">
        <w:t>on the same site, with the sam</w:t>
      </w:r>
      <w:r w:rsidR="003F737A">
        <w:t>e operator and the same purpose</w:t>
      </w:r>
      <w:r w:rsidR="00B96B52">
        <w:t>)</w:t>
      </w:r>
      <w:r w:rsidR="003F737A">
        <w:t xml:space="preserve">, </w:t>
      </w:r>
      <w:r w:rsidR="00BE4BAA">
        <w:t xml:space="preserve">the </w:t>
      </w:r>
      <w:r w:rsidR="00B96B52">
        <w:t xml:space="preserve">draft </w:t>
      </w:r>
      <w:r w:rsidR="00BE4BAA">
        <w:t xml:space="preserve">regulations have the effect of subjecting </w:t>
      </w:r>
      <w:r w:rsidR="001977BF" w:rsidRPr="003F737A">
        <w:rPr>
          <w:i/>
        </w:rPr>
        <w:t>all</w:t>
      </w:r>
      <w:r w:rsidR="001977BF">
        <w:t xml:space="preserve"> </w:t>
      </w:r>
      <w:r>
        <w:t>the G</w:t>
      </w:r>
      <w:r w:rsidR="003F737A">
        <w:t xml:space="preserve">enerators in that collection to permitting from the earliest of the </w:t>
      </w:r>
      <w:r w:rsidR="00BE4BAA">
        <w:t xml:space="preserve">dates </w:t>
      </w:r>
      <w:r w:rsidR="001977BF">
        <w:t xml:space="preserve">prescribed in the </w:t>
      </w:r>
      <w:r w:rsidR="00B96B52">
        <w:t xml:space="preserve">draft </w:t>
      </w:r>
      <w:r w:rsidR="001977BF">
        <w:t xml:space="preserve">regulations </w:t>
      </w:r>
      <w:r>
        <w:t>in relation to the component G</w:t>
      </w:r>
      <w:r w:rsidR="003F737A">
        <w:t xml:space="preserve">enerators.  </w:t>
      </w:r>
      <w:r w:rsidR="00B96B52">
        <w:t xml:space="preserve">By contrast, the standard permitting requirements and the transitional arrangements (see paragraphs 5 and 6 or Schedule 25B of the draft regulations) are applied individually to each component Generator (see further on this below).  </w:t>
      </w:r>
    </w:p>
    <w:p w14:paraId="7CD24D7B" w14:textId="77777777" w:rsidR="00F90314" w:rsidRDefault="00F90314" w:rsidP="005012CC"/>
    <w:p w14:paraId="2AF34FD6" w14:textId="77777777" w:rsidR="00F90314" w:rsidRPr="003F737A" w:rsidRDefault="007F32D4" w:rsidP="00F90314">
      <w:pPr>
        <w:rPr>
          <w:b/>
        </w:rPr>
      </w:pPr>
      <w:r>
        <w:rPr>
          <w:b/>
        </w:rPr>
        <w:t xml:space="preserve">2.2) </w:t>
      </w:r>
      <w:r w:rsidR="00F90314">
        <w:rPr>
          <w:b/>
        </w:rPr>
        <w:t xml:space="preserve">How </w:t>
      </w:r>
      <w:r w:rsidR="007856B8">
        <w:rPr>
          <w:b/>
        </w:rPr>
        <w:t>will</w:t>
      </w:r>
      <w:r w:rsidR="00F90314">
        <w:rPr>
          <w:b/>
        </w:rPr>
        <w:t xml:space="preserve"> the emission controls </w:t>
      </w:r>
      <w:r w:rsidR="007856B8">
        <w:rPr>
          <w:b/>
        </w:rPr>
        <w:t xml:space="preserve">be </w:t>
      </w:r>
      <w:r w:rsidR="00F90314">
        <w:rPr>
          <w:b/>
        </w:rPr>
        <w:t xml:space="preserve">applied? </w:t>
      </w:r>
    </w:p>
    <w:p w14:paraId="534A8ACD" w14:textId="0762A7BD" w:rsidR="00CD6FF3" w:rsidRDefault="00F90314" w:rsidP="00CD6FF3">
      <w:r>
        <w:t xml:space="preserve">The </w:t>
      </w:r>
      <w:r w:rsidR="00B96B52">
        <w:t xml:space="preserve">draft </w:t>
      </w:r>
      <w:r>
        <w:t xml:space="preserve">regulations </w:t>
      </w:r>
      <w:r w:rsidR="00B96B52">
        <w:t xml:space="preserve">apply a set of </w:t>
      </w:r>
      <w:r>
        <w:t>standard permit requirements</w:t>
      </w:r>
      <w:r w:rsidR="00B96B52">
        <w:t xml:space="preserve"> to the Specified Generator, as</w:t>
      </w:r>
      <w:r>
        <w:t xml:space="preserve"> set out in paragraph 5 of Schedule 25B</w:t>
      </w:r>
      <w:r w:rsidR="00B96B52">
        <w:t xml:space="preserve">.  </w:t>
      </w:r>
      <w:r>
        <w:t xml:space="preserve"> </w:t>
      </w:r>
      <w:r w:rsidR="00B96B52">
        <w:t>Where the Specified Generator comprises more than one Generator, the standard permit requirements are</w:t>
      </w:r>
      <w:r>
        <w:t xml:space="preserve"> applied </w:t>
      </w:r>
      <w:r w:rsidR="00C63027">
        <w:t>individually to each component Generator</w:t>
      </w:r>
      <w:r w:rsidR="00B96B52">
        <w:t xml:space="preserve"> by the draft regulations</w:t>
      </w:r>
      <w:r w:rsidR="00A244D5">
        <w:t xml:space="preserve"> (see paragraphs 3 and 5 of Schedule 25B)</w:t>
      </w:r>
      <w:r>
        <w:t xml:space="preserve">.  </w:t>
      </w:r>
      <w:r w:rsidR="007856B8">
        <w:t xml:space="preserve">Regulator guidance, to </w:t>
      </w:r>
      <w:r w:rsidR="00CD6FF3">
        <w:t>be developed in discussion with stakeholders</w:t>
      </w:r>
      <w:r w:rsidR="007856B8">
        <w:t>, will address such matters in detail</w:t>
      </w:r>
      <w:r w:rsidR="00CD6FF3">
        <w:t>.</w:t>
      </w:r>
    </w:p>
    <w:p w14:paraId="6DBBADF1" w14:textId="77777777" w:rsidR="005012CC" w:rsidRPr="00AA5EF0" w:rsidRDefault="005012CC" w:rsidP="005012CC"/>
    <w:p w14:paraId="540CDDBA" w14:textId="77777777" w:rsidR="005012CC" w:rsidRDefault="007F32D4" w:rsidP="005012CC">
      <w:pPr>
        <w:rPr>
          <w:b/>
        </w:rPr>
      </w:pPr>
      <w:r>
        <w:rPr>
          <w:b/>
        </w:rPr>
        <w:t xml:space="preserve">2.3) </w:t>
      </w:r>
      <w:r w:rsidR="005012CC">
        <w:rPr>
          <w:b/>
        </w:rPr>
        <w:t xml:space="preserve">Which generators will benefit </w:t>
      </w:r>
      <w:r w:rsidR="00F90314">
        <w:rPr>
          <w:b/>
        </w:rPr>
        <w:t>from transitional arrangements</w:t>
      </w:r>
      <w:r w:rsidR="007F0B45">
        <w:rPr>
          <w:b/>
        </w:rPr>
        <w:t xml:space="preserve"> in respect of the emissions controls</w:t>
      </w:r>
      <w:r w:rsidR="005012CC">
        <w:rPr>
          <w:b/>
        </w:rPr>
        <w:t>?</w:t>
      </w:r>
    </w:p>
    <w:p w14:paraId="0CA3070F" w14:textId="41D02EDD" w:rsidR="00153BA5" w:rsidRDefault="005012CC" w:rsidP="005012CC">
      <w:r>
        <w:t>Transitional</w:t>
      </w:r>
      <w:r w:rsidR="00C63027">
        <w:t xml:space="preserve"> arrangements </w:t>
      </w:r>
      <w:r w:rsidR="00855F5D">
        <w:t>(</w:t>
      </w:r>
      <w:r w:rsidR="006862EE">
        <w:t>later</w:t>
      </w:r>
      <w:r w:rsidR="00970F64">
        <w:t xml:space="preserve"> application of the requirement for a permit</w:t>
      </w:r>
      <w:r w:rsidR="00855F5D">
        <w:t xml:space="preserve"> and </w:t>
      </w:r>
      <w:r w:rsidR="00970F64">
        <w:t xml:space="preserve">the </w:t>
      </w:r>
      <w:r w:rsidR="00855F5D">
        <w:t xml:space="preserve">standard permit conditions, see paragraphs 3 and 6 of Schedule 25B) </w:t>
      </w:r>
      <w:r w:rsidR="00970F64">
        <w:t xml:space="preserve">will </w:t>
      </w:r>
      <w:r w:rsidR="00A81DBB">
        <w:t>apply individually to the component Generators of a Specified Generator and th</w:t>
      </w:r>
      <w:r w:rsidR="00A81DBB" w:rsidRPr="00A81DBB">
        <w:t xml:space="preserve">e </w:t>
      </w:r>
      <w:r w:rsidR="00A81DBB">
        <w:t>criteria relating to</w:t>
      </w:r>
      <w:r w:rsidR="00A81DBB" w:rsidRPr="00A81DBB">
        <w:t xml:space="preserve"> operating hours and </w:t>
      </w:r>
      <w:r w:rsidR="00CB55BA">
        <w:t xml:space="preserve">pollutant </w:t>
      </w:r>
      <w:r w:rsidR="00A81DBB" w:rsidRPr="00A81DBB">
        <w:t xml:space="preserve">emission </w:t>
      </w:r>
      <w:r w:rsidR="00CB55BA">
        <w:t xml:space="preserve">concentrations </w:t>
      </w:r>
      <w:r w:rsidR="00A81DBB">
        <w:t xml:space="preserve">will be applied on this basis. </w:t>
      </w:r>
      <w:r w:rsidR="00CB55BA">
        <w:t xml:space="preserve"> </w:t>
      </w:r>
      <w:r w:rsidR="00A81DBB">
        <w:t xml:space="preserve">Only </w:t>
      </w:r>
      <w:r w:rsidR="00C63027">
        <w:t>G</w:t>
      </w:r>
      <w:r>
        <w:t xml:space="preserve">enerators </w:t>
      </w:r>
      <w:r w:rsidR="00F90314">
        <w:t>that</w:t>
      </w:r>
      <w:r>
        <w:t xml:space="preserve"> were in operation when the controls were announced</w:t>
      </w:r>
      <w:r w:rsidR="00A81DBB">
        <w:t xml:space="preserve"> and </w:t>
      </w:r>
      <w:r w:rsidR="00BB0CD8">
        <w:t>some Generators</w:t>
      </w:r>
      <w:r w:rsidR="00727670">
        <w:t xml:space="preserve"> </w:t>
      </w:r>
      <w:r w:rsidR="00BB0CD8">
        <w:t xml:space="preserve">providing </w:t>
      </w:r>
      <w:r>
        <w:t>services to the</w:t>
      </w:r>
      <w:r w:rsidR="003279C5">
        <w:t xml:space="preserve"> </w:t>
      </w:r>
      <w:r w:rsidR="003279C5" w:rsidRPr="003279C5">
        <w:t>electricity transmission/distribution system</w:t>
      </w:r>
      <w:r w:rsidR="00970F64">
        <w:t xml:space="preserve">, </w:t>
      </w:r>
      <w:r w:rsidR="006E7B02">
        <w:t>as described in the bullets below</w:t>
      </w:r>
      <w:r w:rsidR="00A81DBB">
        <w:t>, will benefit from the transitional arrangements</w:t>
      </w:r>
      <w:r>
        <w:t xml:space="preserve">. </w:t>
      </w:r>
      <w:r w:rsidR="00F90314">
        <w:t xml:space="preserve"> </w:t>
      </w:r>
      <w:r>
        <w:t xml:space="preserve">These </w:t>
      </w:r>
      <w:r w:rsidR="00F90314">
        <w:t>are termed ‘</w:t>
      </w:r>
      <w:r>
        <w:t>Tranche A</w:t>
      </w:r>
      <w:r w:rsidR="00C63027">
        <w:t xml:space="preserve"> G</w:t>
      </w:r>
      <w:r w:rsidR="00F90314">
        <w:t>enerat</w:t>
      </w:r>
      <w:r w:rsidR="00CB55BA">
        <w:t xml:space="preserve">ors’ in the draft regulations.  </w:t>
      </w:r>
      <w:r w:rsidR="001444C1">
        <w:t>D</w:t>
      </w:r>
      <w:r w:rsidR="00F90314">
        <w:t>uring th</w:t>
      </w:r>
      <w:r w:rsidR="00A81DBB">
        <w:t>e</w:t>
      </w:r>
      <w:r w:rsidR="00F90314">
        <w:t xml:space="preserve"> </w:t>
      </w:r>
      <w:r w:rsidR="00CB55BA">
        <w:t xml:space="preserve">application of the </w:t>
      </w:r>
      <w:r w:rsidR="00855F5D">
        <w:t xml:space="preserve">transitional </w:t>
      </w:r>
      <w:r w:rsidR="00CB55BA">
        <w:t>arrangements</w:t>
      </w:r>
      <w:r w:rsidR="00A81DBB">
        <w:t>,</w:t>
      </w:r>
      <w:r w:rsidR="007F0B45">
        <w:t xml:space="preserve"> higher-risk</w:t>
      </w:r>
      <w:r w:rsidR="00C63027">
        <w:t xml:space="preserve"> Tranche A G</w:t>
      </w:r>
      <w:r w:rsidR="00F90314">
        <w:t>enerators will be</w:t>
      </w:r>
      <w:r w:rsidR="00AE1C5D">
        <w:t xml:space="preserve"> subject to controls</w:t>
      </w:r>
      <w:r w:rsidR="007F0B45">
        <w:t xml:space="preserve"> to the extent necessary to ensure </w:t>
      </w:r>
      <w:r w:rsidR="00153BA5">
        <w:t xml:space="preserve">the protection </w:t>
      </w:r>
      <w:r w:rsidR="007F0B45">
        <w:t>of NO</w:t>
      </w:r>
      <w:r w:rsidR="007F0B45" w:rsidRPr="007F0B45">
        <w:rPr>
          <w:vertAlign w:val="subscript"/>
        </w:rPr>
        <w:t>2</w:t>
      </w:r>
      <w:r w:rsidR="00EC7DA4">
        <w:t xml:space="preserve"> Limit V</w:t>
      </w:r>
      <w:r w:rsidR="007F0B45">
        <w:t>alues (paragraph 6(3) of Schedule 25B)</w:t>
      </w:r>
      <w:r w:rsidR="009F08A5">
        <w:t xml:space="preserve"> set out in the Air Quality Standards Regulations 2010</w:t>
      </w:r>
      <w:r w:rsidR="007F0B45">
        <w:t>.</w:t>
      </w:r>
      <w:r>
        <w:t xml:space="preserve"> </w:t>
      </w:r>
      <w:r w:rsidR="00153BA5">
        <w:t xml:space="preserve"> </w:t>
      </w:r>
    </w:p>
    <w:p w14:paraId="65527FCC" w14:textId="77777777" w:rsidR="00153BA5" w:rsidRDefault="00153BA5" w:rsidP="005012CC"/>
    <w:p w14:paraId="28FD9B8A" w14:textId="1F71B302" w:rsidR="005012CC" w:rsidRDefault="00CB55BA" w:rsidP="005012CC">
      <w:r>
        <w:t>The application of</w:t>
      </w:r>
      <w:r w:rsidR="005012CC">
        <w:t xml:space="preserve"> transitional arrangements differs </w:t>
      </w:r>
      <w:r>
        <w:t>between</w:t>
      </w:r>
      <w:r w:rsidR="005012CC">
        <w:t xml:space="preserve"> 1-50MW</w:t>
      </w:r>
      <w:r w:rsidR="00006F9A">
        <w:t>th</w:t>
      </w:r>
      <w:r w:rsidR="005012CC">
        <w:t xml:space="preserve"> and </w:t>
      </w:r>
      <w:r>
        <w:t>sub-</w:t>
      </w:r>
      <w:r w:rsidR="005012CC">
        <w:t>1MW</w:t>
      </w:r>
      <w:r w:rsidR="00006F9A">
        <w:t>th</w:t>
      </w:r>
      <w:r w:rsidR="00EC7DA4">
        <w:t xml:space="preserve"> G</w:t>
      </w:r>
      <w:r w:rsidR="005012CC">
        <w:t>enerators because the controls were announced at different times.</w:t>
      </w:r>
      <w:r w:rsidR="00153BA5">
        <w:t xml:space="preserve">  </w:t>
      </w:r>
      <w:r w:rsidR="00C63027">
        <w:t>A G</w:t>
      </w:r>
      <w:r w:rsidR="005012CC" w:rsidRPr="00FE7483">
        <w:t>enerator with a rated thermal input equal to or greater than 1</w:t>
      </w:r>
      <w:r w:rsidR="005012CC">
        <w:t>MW</w:t>
      </w:r>
      <w:r w:rsidR="002B51A6">
        <w:t>th</w:t>
      </w:r>
      <w:r w:rsidR="005012CC" w:rsidRPr="00FE7483">
        <w:t xml:space="preserve"> and less than 50</w:t>
      </w:r>
      <w:r w:rsidR="005012CC">
        <w:t>MW</w:t>
      </w:r>
      <w:r w:rsidR="002B51A6">
        <w:t>th</w:t>
      </w:r>
      <w:r w:rsidR="005012CC">
        <w:t xml:space="preserve"> </w:t>
      </w:r>
      <w:r w:rsidR="009F08A5">
        <w:t>(this generator may be comprised of several individual generators under 1MW</w:t>
      </w:r>
      <w:r w:rsidR="002B51A6">
        <w:t>th</w:t>
      </w:r>
      <w:r w:rsidR="009F08A5">
        <w:t xml:space="preserve">) </w:t>
      </w:r>
      <w:r w:rsidR="005012CC">
        <w:t>will benefit from transitional arrangements if:</w:t>
      </w:r>
    </w:p>
    <w:p w14:paraId="2444BC39" w14:textId="77777777" w:rsidR="00CB55BA" w:rsidRDefault="00CB55BA" w:rsidP="005012CC"/>
    <w:p w14:paraId="7BF5AE4B" w14:textId="77777777" w:rsidR="005012CC" w:rsidRDefault="00153BA5" w:rsidP="005012CC">
      <w:pPr>
        <w:pStyle w:val="ListParagraph"/>
        <w:numPr>
          <w:ilvl w:val="0"/>
          <w:numId w:val="3"/>
        </w:numPr>
      </w:pPr>
      <w:r>
        <w:t>it</w:t>
      </w:r>
      <w:r w:rsidR="005012CC">
        <w:t xml:space="preserve"> came into operation before 1</w:t>
      </w:r>
      <w:r w:rsidR="005012CC" w:rsidRPr="00FB20FB">
        <w:rPr>
          <w:vertAlign w:val="superscript"/>
        </w:rPr>
        <w:t>st</w:t>
      </w:r>
      <w:r w:rsidR="005012CC">
        <w:t xml:space="preserve"> December 2016; or</w:t>
      </w:r>
    </w:p>
    <w:p w14:paraId="1B2C806A" w14:textId="77777777" w:rsidR="005012CC" w:rsidRDefault="00153BA5" w:rsidP="005012CC">
      <w:pPr>
        <w:pStyle w:val="ListParagraph"/>
        <w:numPr>
          <w:ilvl w:val="0"/>
          <w:numId w:val="3"/>
        </w:numPr>
      </w:pPr>
      <w:r>
        <w:t xml:space="preserve">it is </w:t>
      </w:r>
      <w:r w:rsidR="005012CC" w:rsidRPr="00FE7483">
        <w:t>the subject of a capacity agreement arising from the 2014 or 2015 capacity auctions, or</w:t>
      </w:r>
    </w:p>
    <w:p w14:paraId="15471E14" w14:textId="77777777" w:rsidR="005012CC" w:rsidRPr="00FE7483" w:rsidRDefault="00153BA5" w:rsidP="005012CC">
      <w:pPr>
        <w:pStyle w:val="ListParagraph"/>
        <w:numPr>
          <w:ilvl w:val="0"/>
          <w:numId w:val="3"/>
        </w:numPr>
      </w:pPr>
      <w:r>
        <w:t xml:space="preserve">it is the subject of </w:t>
      </w:r>
      <w:r w:rsidR="005012CC" w:rsidRPr="00FE7483">
        <w:t>a Feed-in Tariff preliminary accreditation application</w:t>
      </w:r>
      <w:r w:rsidR="005012CC">
        <w:t xml:space="preserve"> </w:t>
      </w:r>
      <w:r>
        <w:t xml:space="preserve">that </w:t>
      </w:r>
      <w:r w:rsidR="005012CC" w:rsidRPr="00FE7483">
        <w:t xml:space="preserve">was received </w:t>
      </w:r>
      <w:r w:rsidR="005012CC">
        <w:t>before 1st December 2016.</w:t>
      </w:r>
    </w:p>
    <w:p w14:paraId="6459A840" w14:textId="77777777" w:rsidR="00153BA5" w:rsidRDefault="00153BA5" w:rsidP="005012CC">
      <w:pPr>
        <w:rPr>
          <w:b/>
        </w:rPr>
      </w:pPr>
    </w:p>
    <w:p w14:paraId="5E9887EC" w14:textId="67ED0D0B" w:rsidR="005012CC" w:rsidRDefault="005012CC" w:rsidP="005012CC">
      <w:r>
        <w:t>A</w:t>
      </w:r>
      <w:r w:rsidR="00C63027">
        <w:t xml:space="preserve"> G</w:t>
      </w:r>
      <w:r w:rsidRPr="00FE7483">
        <w:t>enerator with a rated thermal input of less than 1</w:t>
      </w:r>
      <w:r>
        <w:t>MW</w:t>
      </w:r>
      <w:r w:rsidR="002B51A6">
        <w:t>th</w:t>
      </w:r>
      <w:r>
        <w:t xml:space="preserve"> will benefit from transitional arrangements if:</w:t>
      </w:r>
    </w:p>
    <w:p w14:paraId="1CA35F6C" w14:textId="77777777" w:rsidR="00CB55BA" w:rsidRDefault="00CB55BA" w:rsidP="005012CC"/>
    <w:p w14:paraId="42908149" w14:textId="77777777" w:rsidR="00A81DBB" w:rsidRDefault="005012CC" w:rsidP="005012CC">
      <w:pPr>
        <w:pStyle w:val="ListParagraph"/>
        <w:numPr>
          <w:ilvl w:val="0"/>
          <w:numId w:val="3"/>
        </w:numPr>
      </w:pPr>
      <w:r>
        <w:t>it is</w:t>
      </w:r>
      <w:r w:rsidRPr="00FE7483">
        <w:t xml:space="preserve"> the subject of a capacity agreement </w:t>
      </w:r>
      <w:r w:rsidR="00153BA5">
        <w:t xml:space="preserve">arising </w:t>
      </w:r>
      <w:r w:rsidRPr="00FE7483">
        <w:t>from the 2014, 2015 or 2016 capacity auctions</w:t>
      </w:r>
      <w:r w:rsidR="00A81DBB">
        <w:t>; or</w:t>
      </w:r>
    </w:p>
    <w:p w14:paraId="3CBC9933" w14:textId="77777777" w:rsidR="005012CC" w:rsidRDefault="00A81DBB" w:rsidP="005012CC">
      <w:pPr>
        <w:pStyle w:val="ListParagraph"/>
        <w:numPr>
          <w:ilvl w:val="0"/>
          <w:numId w:val="3"/>
        </w:numPr>
      </w:pPr>
      <w:r>
        <w:t xml:space="preserve">it is the subject of </w:t>
      </w:r>
      <w:r w:rsidR="001975CD">
        <w:t xml:space="preserve">a balancing services agreement entered into </w:t>
      </w:r>
      <w:r>
        <w:t>before</w:t>
      </w:r>
      <w:r w:rsidR="001975CD">
        <w:t xml:space="preserve"> 31 October 2017</w:t>
      </w:r>
      <w:r w:rsidR="00153BA5">
        <w:t>;</w:t>
      </w:r>
      <w:r w:rsidR="005012CC" w:rsidRPr="00FE7483">
        <w:t xml:space="preserve"> or </w:t>
      </w:r>
    </w:p>
    <w:p w14:paraId="2A4DFE8A" w14:textId="77777777" w:rsidR="005012CC" w:rsidRDefault="00153BA5" w:rsidP="005012CC">
      <w:pPr>
        <w:pStyle w:val="ListParagraph"/>
        <w:numPr>
          <w:ilvl w:val="0"/>
          <w:numId w:val="3"/>
        </w:numPr>
      </w:pPr>
      <w:r>
        <w:t xml:space="preserve">it is the subject of a </w:t>
      </w:r>
      <w:r w:rsidR="005012CC" w:rsidRPr="00FE7483">
        <w:t xml:space="preserve">Feed-in Tariff preliminary accreditation application </w:t>
      </w:r>
      <w:r>
        <w:t xml:space="preserve">that </w:t>
      </w:r>
      <w:r w:rsidR="005012CC" w:rsidRPr="00FE7483">
        <w:t xml:space="preserve">was received </w:t>
      </w:r>
      <w:r w:rsidR="005012CC">
        <w:t>before 1st December 2017.</w:t>
      </w:r>
    </w:p>
    <w:p w14:paraId="0D2AB2C7" w14:textId="77777777" w:rsidR="005012CC" w:rsidRDefault="005012CC" w:rsidP="005012CC">
      <w:pPr>
        <w:rPr>
          <w:b/>
        </w:rPr>
      </w:pPr>
    </w:p>
    <w:p w14:paraId="3A192A13" w14:textId="77777777" w:rsidR="00153BA5" w:rsidRPr="00153BA5" w:rsidRDefault="00C63027" w:rsidP="005012CC">
      <w:r>
        <w:t>A G</w:t>
      </w:r>
      <w:r w:rsidR="00153BA5">
        <w:t>enerator</w:t>
      </w:r>
      <w:r w:rsidR="00153BA5" w:rsidRPr="00153BA5">
        <w:t xml:space="preserve"> that do</w:t>
      </w:r>
      <w:r w:rsidR="00153BA5">
        <w:t>es</w:t>
      </w:r>
      <w:r w:rsidR="00153BA5" w:rsidRPr="00153BA5">
        <w:t xml:space="preserve"> not me</w:t>
      </w:r>
      <w:r>
        <w:t>et the definition of Tranche A G</w:t>
      </w:r>
      <w:r w:rsidR="00153BA5" w:rsidRPr="00153BA5">
        <w:t xml:space="preserve">enerator </w:t>
      </w:r>
      <w:r w:rsidR="005A2F48">
        <w:t>will be</w:t>
      </w:r>
      <w:r>
        <w:t xml:space="preserve"> a ‘Tranche B G</w:t>
      </w:r>
      <w:r w:rsidR="00153BA5">
        <w:t xml:space="preserve">enerator’.  </w:t>
      </w:r>
      <w:r>
        <w:t>Tranche B G</w:t>
      </w:r>
      <w:r w:rsidR="005A2F48">
        <w:t>enerators</w:t>
      </w:r>
      <w:r w:rsidR="00153BA5">
        <w:t xml:space="preserve"> do not benefit from </w:t>
      </w:r>
      <w:r w:rsidR="00A81DBB">
        <w:t xml:space="preserve">the </w:t>
      </w:r>
      <w:r w:rsidR="00153BA5">
        <w:t xml:space="preserve">transitional arrangements.  </w:t>
      </w:r>
    </w:p>
    <w:p w14:paraId="726FF410" w14:textId="77777777" w:rsidR="00153BA5" w:rsidRDefault="00153BA5" w:rsidP="005012CC">
      <w:pPr>
        <w:rPr>
          <w:b/>
        </w:rPr>
      </w:pPr>
    </w:p>
    <w:p w14:paraId="4BF30FDC" w14:textId="2D5CDD09" w:rsidR="005012CC" w:rsidRPr="005931FE" w:rsidRDefault="007F32D4" w:rsidP="005012CC">
      <w:pPr>
        <w:rPr>
          <w:b/>
        </w:rPr>
      </w:pPr>
      <w:r>
        <w:rPr>
          <w:b/>
        </w:rPr>
        <w:t xml:space="preserve">2.4) </w:t>
      </w:r>
      <w:r w:rsidR="005012CC">
        <w:rPr>
          <w:b/>
        </w:rPr>
        <w:t xml:space="preserve">What are the </w:t>
      </w:r>
      <w:r w:rsidR="009F08A5">
        <w:rPr>
          <w:b/>
        </w:rPr>
        <w:t xml:space="preserve">restrictions to use of Tranche A generators </w:t>
      </w:r>
      <w:r w:rsidR="005012CC">
        <w:rPr>
          <w:b/>
        </w:rPr>
        <w:t xml:space="preserve">for continuing to benefit from transitional arrangements? Why have you put these conditions in place? </w:t>
      </w:r>
    </w:p>
    <w:p w14:paraId="46B4431D" w14:textId="3EF25140" w:rsidR="005012CC" w:rsidRPr="009821E7" w:rsidRDefault="005012CC" w:rsidP="005012CC">
      <w:r>
        <w:t>A T</w:t>
      </w:r>
      <w:r w:rsidR="00C63027">
        <w:t>ranche A G</w:t>
      </w:r>
      <w:r w:rsidRPr="002866C4">
        <w:t xml:space="preserve">enerator </w:t>
      </w:r>
      <w:r w:rsidR="00E27C81">
        <w:t xml:space="preserve">of a type described at (b), (c), (d), (e), or (f) above </w:t>
      </w:r>
      <w:r w:rsidR="00153BA5">
        <w:t xml:space="preserve">in relation to </w:t>
      </w:r>
      <w:r w:rsidRPr="002866C4">
        <w:t xml:space="preserve">which </w:t>
      </w:r>
      <w:r w:rsidR="00153BA5">
        <w:t>the operator enters</w:t>
      </w:r>
      <w:r>
        <w:t xml:space="preserve"> a capacity</w:t>
      </w:r>
      <w:r w:rsidRPr="002866C4">
        <w:t xml:space="preserve"> agreement, or an agreement for provision of balancing services</w:t>
      </w:r>
      <w:r w:rsidR="00A81959">
        <w:t>,</w:t>
      </w:r>
      <w:r w:rsidR="009821E7">
        <w:t xml:space="preserve"> after 31</w:t>
      </w:r>
      <w:r w:rsidR="009821E7" w:rsidRPr="009821E7">
        <w:rPr>
          <w:vertAlign w:val="superscript"/>
        </w:rPr>
        <w:t>st</w:t>
      </w:r>
      <w:r w:rsidR="009821E7">
        <w:t xml:space="preserve"> </w:t>
      </w:r>
      <w:r w:rsidRPr="002866C4">
        <w:t>October 2017</w:t>
      </w:r>
      <w:r>
        <w:t xml:space="preserve"> will</w:t>
      </w:r>
      <w:r w:rsidR="00C63027">
        <w:t xml:space="preserve"> cease to be a Tranche A G</w:t>
      </w:r>
      <w:r w:rsidR="00153BA5">
        <w:t>enerator and therefore</w:t>
      </w:r>
      <w:r>
        <w:t xml:space="preserve"> </w:t>
      </w:r>
      <w:r w:rsidR="009821E7">
        <w:t xml:space="preserve">cannot continue to benefit from transitional arrangements.  </w:t>
      </w:r>
      <w:r>
        <w:t xml:space="preserve">Without this </w:t>
      </w:r>
      <w:r w:rsidR="003029D3">
        <w:t>provision</w:t>
      </w:r>
      <w:r w:rsidR="00F1318E">
        <w:t xml:space="preserve">, </w:t>
      </w:r>
      <w:r w:rsidR="001975CD">
        <w:t xml:space="preserve">Tranche A </w:t>
      </w:r>
      <w:r w:rsidR="00F1318E">
        <w:t>G</w:t>
      </w:r>
      <w:r>
        <w:t xml:space="preserve">enerators would have a </w:t>
      </w:r>
      <w:r w:rsidR="00F1318E">
        <w:t xml:space="preserve">competitive advantage over </w:t>
      </w:r>
      <w:r w:rsidR="001975CD">
        <w:t xml:space="preserve">Tranche B </w:t>
      </w:r>
      <w:r w:rsidR="00F1318E">
        <w:t>G</w:t>
      </w:r>
      <w:r>
        <w:t xml:space="preserve">enerators when bidding for new agreements as they would not be </w:t>
      </w:r>
      <w:bookmarkStart w:id="0" w:name="_GoBack"/>
      <w:bookmarkEnd w:id="0"/>
      <w:r>
        <w:t>subject to the same emission controls</w:t>
      </w:r>
      <w:r w:rsidR="001975CD">
        <w:t xml:space="preserve">, so </w:t>
      </w:r>
      <w:r w:rsidR="009821E7">
        <w:t xml:space="preserve">through this provision </w:t>
      </w:r>
      <w:r w:rsidR="001975CD">
        <w:t>we are seeking to ensure a level playing field</w:t>
      </w:r>
      <w:r>
        <w:t xml:space="preserve">.  We do not expect individual </w:t>
      </w:r>
      <w:r w:rsidR="00964BE7">
        <w:t xml:space="preserve">Tranche A </w:t>
      </w:r>
      <w:r w:rsidR="00F1318E">
        <w:t>G</w:t>
      </w:r>
      <w:r w:rsidR="003029D3">
        <w:t>enerators</w:t>
      </w:r>
      <w:r w:rsidR="00BB1DA9">
        <w:t xml:space="preserve"> </w:t>
      </w:r>
      <w:r>
        <w:t>to pose a risk to air quality</w:t>
      </w:r>
      <w:r w:rsidR="00964BE7">
        <w:t xml:space="preserve"> </w:t>
      </w:r>
      <w:r>
        <w:t xml:space="preserve">but </w:t>
      </w:r>
      <w:r w:rsidR="003029D3">
        <w:t>extended</w:t>
      </w:r>
      <w:r w:rsidR="00F1318E">
        <w:t xml:space="preserve"> use of</w:t>
      </w:r>
      <w:r w:rsidR="00964BE7">
        <w:t xml:space="preserve"> these</w:t>
      </w:r>
      <w:r w:rsidR="00F1318E">
        <w:t xml:space="preserve"> G</w:t>
      </w:r>
      <w:r>
        <w:t xml:space="preserve">enerators </w:t>
      </w:r>
      <w:r w:rsidR="003029D3">
        <w:t xml:space="preserve">beyond the terms of the capacity agreements /Feed-In Tariff applications that render them Tranche A </w:t>
      </w:r>
      <w:r>
        <w:t xml:space="preserve">would </w:t>
      </w:r>
      <w:r w:rsidR="003029D3">
        <w:t xml:space="preserve">give rise to </w:t>
      </w:r>
      <w:r>
        <w:t xml:space="preserve">an avoidable increase in </w:t>
      </w:r>
      <w:r w:rsidR="009A6CE3">
        <w:t>overall</w:t>
      </w:r>
      <w:r>
        <w:t xml:space="preserve"> emissions.</w:t>
      </w:r>
    </w:p>
    <w:p w14:paraId="0C7F815C" w14:textId="77777777" w:rsidR="005012CC" w:rsidRDefault="005012CC" w:rsidP="005012CC"/>
    <w:p w14:paraId="12926763" w14:textId="77777777" w:rsidR="005012CC" w:rsidRDefault="003029D3" w:rsidP="005012CC">
      <w:r>
        <w:t>The</w:t>
      </w:r>
      <w:r w:rsidR="005012CC">
        <w:t xml:space="preserve"> </w:t>
      </w:r>
      <w:r w:rsidR="009A6CE3">
        <w:t>condition</w:t>
      </w:r>
      <w:r>
        <w:t xml:space="preserve"> for continuing to benefit from transitional arrangements</w:t>
      </w:r>
      <w:r w:rsidR="001009C4">
        <w:t xml:space="preserve"> set out in the paragraph above</w:t>
      </w:r>
      <w:r w:rsidR="005012CC">
        <w:t xml:space="preserve"> </w:t>
      </w:r>
      <w:r w:rsidR="009A6CE3">
        <w:t>was</w:t>
      </w:r>
      <w:r w:rsidR="005012CC">
        <w:t xml:space="preserve"> introduced after considering feedback received in the public consultation and the impact of changes in the energy market introduced by </w:t>
      </w:r>
      <w:r>
        <w:t xml:space="preserve">the Department for Business and </w:t>
      </w:r>
      <w:r w:rsidR="005012CC">
        <w:t>I</w:t>
      </w:r>
      <w:r>
        <w:t xml:space="preserve">ndustrial </w:t>
      </w:r>
      <w:r w:rsidR="005012CC">
        <w:t>S</w:t>
      </w:r>
      <w:r>
        <w:t>trategy (BEIS)</w:t>
      </w:r>
      <w:r w:rsidR="005012CC">
        <w:t xml:space="preserve"> and </w:t>
      </w:r>
      <w:r>
        <w:t xml:space="preserve">the </w:t>
      </w:r>
      <w:r w:rsidR="005012CC">
        <w:t>O</w:t>
      </w:r>
      <w:r>
        <w:t xml:space="preserve">ffice of </w:t>
      </w:r>
      <w:r w:rsidR="005012CC">
        <w:t>G</w:t>
      </w:r>
      <w:r>
        <w:t xml:space="preserve">as and </w:t>
      </w:r>
      <w:r w:rsidR="005012CC">
        <w:t>E</w:t>
      </w:r>
      <w:r>
        <w:t xml:space="preserve">lectricity </w:t>
      </w:r>
      <w:r w:rsidR="005012CC">
        <w:t>M</w:t>
      </w:r>
      <w:r>
        <w:t>arkets (OFGEM)</w:t>
      </w:r>
      <w:r w:rsidR="005012CC">
        <w:t xml:space="preserve">.  </w:t>
      </w:r>
      <w:r>
        <w:t>We have considered the views of</w:t>
      </w:r>
      <w:r w:rsidR="005012CC">
        <w:t xml:space="preserve"> OFGEM and </w:t>
      </w:r>
      <w:r>
        <w:t>the operator of the national electricity transmission system</w:t>
      </w:r>
      <w:r w:rsidR="005012CC">
        <w:t xml:space="preserve"> </w:t>
      </w:r>
      <w:r>
        <w:t>in ensuring</w:t>
      </w:r>
      <w:r w:rsidR="005012CC">
        <w:t xml:space="preserve"> </w:t>
      </w:r>
      <w:r w:rsidR="0059027A">
        <w:t>any risks to security of supply and/or system balancing are manageable</w:t>
      </w:r>
      <w:r w:rsidR="005012CC">
        <w:t xml:space="preserve">. </w:t>
      </w:r>
      <w:r w:rsidR="009A6CE3">
        <w:t>This</w:t>
      </w:r>
      <w:r w:rsidR="004E14E1">
        <w:t xml:space="preserve"> </w:t>
      </w:r>
      <w:r w:rsidR="009A6CE3">
        <w:t>condition</w:t>
      </w:r>
      <w:r>
        <w:t xml:space="preserve"> </w:t>
      </w:r>
      <w:r w:rsidR="009A6CE3">
        <w:t>is</w:t>
      </w:r>
      <w:r w:rsidR="004E14E1">
        <w:t xml:space="preserve"> being introduced to</w:t>
      </w:r>
      <w:r w:rsidR="005012CC">
        <w:t xml:space="preserve"> provide clarification and close a potential </w:t>
      </w:r>
      <w:r>
        <w:t>gap</w:t>
      </w:r>
      <w:r w:rsidR="005012CC">
        <w:t xml:space="preserve"> in regulation. </w:t>
      </w:r>
      <w:r>
        <w:t xml:space="preserve"> </w:t>
      </w:r>
      <w:r w:rsidR="005012CC">
        <w:t>We have set a cut-off date</w:t>
      </w:r>
      <w:r w:rsidR="001009C4">
        <w:t xml:space="preserve"> of 31 October 2017</w:t>
      </w:r>
      <w:r w:rsidR="005012CC">
        <w:t xml:space="preserve"> which gives advance warning of the provision to operators and aligns with the planned timing for laying the legal instrument </w:t>
      </w:r>
      <w:r w:rsidR="00BB1DA9">
        <w:t>before the</w:t>
      </w:r>
      <w:r w:rsidR="004E14E1">
        <w:t xml:space="preserve"> </w:t>
      </w:r>
      <w:r w:rsidR="0079669E">
        <w:t xml:space="preserve">Parliament </w:t>
      </w:r>
      <w:r w:rsidR="00E15791">
        <w:t>and the National Assembly for Wales</w:t>
      </w:r>
      <w:r w:rsidR="005012CC">
        <w:t>.</w:t>
      </w:r>
    </w:p>
    <w:p w14:paraId="159506F3" w14:textId="77777777" w:rsidR="001B66F2" w:rsidRDefault="001B66F2" w:rsidP="001B66F2"/>
    <w:p w14:paraId="3B7F1197" w14:textId="77777777" w:rsidR="00E15791" w:rsidRDefault="00E15791" w:rsidP="001B66F2"/>
    <w:p w14:paraId="19B51D82" w14:textId="288A01CF" w:rsidR="001B66F2" w:rsidRPr="002272ED" w:rsidRDefault="007F32D4" w:rsidP="001B66F2">
      <w:pPr>
        <w:rPr>
          <w:b/>
        </w:rPr>
      </w:pPr>
      <w:r>
        <w:rPr>
          <w:b/>
        </w:rPr>
        <w:t>2.</w:t>
      </w:r>
      <w:r w:rsidR="00BF24F3">
        <w:rPr>
          <w:b/>
        </w:rPr>
        <w:t>5</w:t>
      </w:r>
      <w:r>
        <w:rPr>
          <w:b/>
        </w:rPr>
        <w:t xml:space="preserve">) </w:t>
      </w:r>
      <w:r w:rsidR="001B66F2" w:rsidRPr="002272ED">
        <w:rPr>
          <w:b/>
        </w:rPr>
        <w:t xml:space="preserve">What definition will be used for balancing services? </w:t>
      </w:r>
    </w:p>
    <w:p w14:paraId="5439D1A0" w14:textId="77777777" w:rsidR="00CD6FF3" w:rsidRDefault="001B66F2" w:rsidP="00B23DB4">
      <w:r>
        <w:t>B</w:t>
      </w:r>
      <w:r w:rsidRPr="0050540B">
        <w:t>alancing services</w:t>
      </w:r>
      <w:r>
        <w:t xml:space="preserve"> are defined </w:t>
      </w:r>
      <w:r w:rsidR="0024054E">
        <w:t>as</w:t>
      </w:r>
      <w:r w:rsidR="0024054E" w:rsidRPr="0024054E">
        <w:t xml:space="preserve"> any services procured by the transmission system operator in order to balance demand and supply, and to ensure the security and quality of electricity supply, across the national transmission system for Great Britain</w:t>
      </w:r>
      <w:r w:rsidR="0024054E">
        <w:t>.</w:t>
      </w:r>
      <w:r>
        <w:t>.</w:t>
      </w:r>
    </w:p>
    <w:p w14:paraId="492BD951" w14:textId="77777777" w:rsidR="007F32D4" w:rsidRPr="00EB42B4" w:rsidRDefault="007F32D4" w:rsidP="00B23DB4"/>
    <w:p w14:paraId="323CCB5F" w14:textId="77777777" w:rsidR="001F5F49" w:rsidRDefault="001F5F49" w:rsidP="00B23DB4">
      <w:pPr>
        <w:rPr>
          <w:b/>
        </w:rPr>
      </w:pPr>
      <w:r>
        <w:rPr>
          <w:b/>
        </w:rPr>
        <w:t>3) Approach to permitting</w:t>
      </w:r>
    </w:p>
    <w:p w14:paraId="6152D845" w14:textId="77777777" w:rsidR="001F5F49" w:rsidRDefault="001F5F49" w:rsidP="00B23DB4">
      <w:pPr>
        <w:rPr>
          <w:b/>
        </w:rPr>
      </w:pPr>
    </w:p>
    <w:p w14:paraId="423FCA53" w14:textId="77777777" w:rsidR="005012CC" w:rsidRPr="006B7A96" w:rsidRDefault="007F32D4" w:rsidP="005012CC">
      <w:pPr>
        <w:rPr>
          <w:b/>
        </w:rPr>
      </w:pPr>
      <w:r>
        <w:rPr>
          <w:b/>
        </w:rPr>
        <w:t xml:space="preserve">3.1) </w:t>
      </w:r>
      <w:r w:rsidR="005012CC" w:rsidRPr="006B7A96">
        <w:rPr>
          <w:b/>
        </w:rPr>
        <w:t>Who will regulat</w:t>
      </w:r>
      <w:r w:rsidR="00BA30FF">
        <w:rPr>
          <w:b/>
        </w:rPr>
        <w:t>e</w:t>
      </w:r>
      <w:r w:rsidR="005012CC" w:rsidRPr="006B7A96">
        <w:rPr>
          <w:b/>
        </w:rPr>
        <w:t xml:space="preserve"> </w:t>
      </w:r>
      <w:r w:rsidR="00BA30FF">
        <w:rPr>
          <w:b/>
        </w:rPr>
        <w:t xml:space="preserve">MCPs and </w:t>
      </w:r>
      <w:r w:rsidR="0050581A">
        <w:rPr>
          <w:b/>
        </w:rPr>
        <w:t>S</w:t>
      </w:r>
      <w:r w:rsidR="003029D3">
        <w:rPr>
          <w:b/>
        </w:rPr>
        <w:t xml:space="preserve">pecified </w:t>
      </w:r>
      <w:r w:rsidR="0050581A">
        <w:rPr>
          <w:b/>
        </w:rPr>
        <w:t>G</w:t>
      </w:r>
      <w:r w:rsidR="00BA30FF">
        <w:rPr>
          <w:b/>
        </w:rPr>
        <w:t xml:space="preserve">enerators </w:t>
      </w:r>
      <w:r w:rsidR="00B371C2">
        <w:rPr>
          <w:b/>
        </w:rPr>
        <w:t xml:space="preserve">located </w:t>
      </w:r>
      <w:r w:rsidR="0050581A">
        <w:rPr>
          <w:b/>
        </w:rPr>
        <w:t>outside of I</w:t>
      </w:r>
      <w:r w:rsidR="00BA30FF">
        <w:rPr>
          <w:b/>
        </w:rPr>
        <w:t>nstallations</w:t>
      </w:r>
      <w:r w:rsidR="00B371C2">
        <w:rPr>
          <w:b/>
        </w:rPr>
        <w:t xml:space="preserve"> (as defined in Schedule 1 to the Environmental Permitting (England and Wales) Regulations 2016 – ‘EPR 2016’)</w:t>
      </w:r>
      <w:r w:rsidR="00BA30FF">
        <w:rPr>
          <w:b/>
        </w:rPr>
        <w:t xml:space="preserve"> </w:t>
      </w:r>
      <w:r w:rsidR="005012CC" w:rsidRPr="006B7A96">
        <w:rPr>
          <w:b/>
        </w:rPr>
        <w:t xml:space="preserve">in </w:t>
      </w:r>
      <w:r w:rsidR="005012CC">
        <w:rPr>
          <w:b/>
        </w:rPr>
        <w:t xml:space="preserve">England and </w:t>
      </w:r>
      <w:r w:rsidR="005012CC" w:rsidRPr="006B7A96">
        <w:rPr>
          <w:b/>
        </w:rPr>
        <w:t>Wales?</w:t>
      </w:r>
    </w:p>
    <w:p w14:paraId="2441A447" w14:textId="77777777" w:rsidR="005012CC" w:rsidRPr="00A5619B" w:rsidRDefault="005012CC" w:rsidP="005012CC">
      <w:r w:rsidRPr="00A5619B">
        <w:t>The Environment Agency</w:t>
      </w:r>
      <w:r w:rsidR="00B371C2">
        <w:t xml:space="preserve"> (EA)</w:t>
      </w:r>
      <w:r w:rsidRPr="00A5619B">
        <w:t xml:space="preserve"> has been appointed as regulator </w:t>
      </w:r>
      <w:r w:rsidR="00BA30FF">
        <w:t>of such plant in England</w:t>
      </w:r>
      <w:r w:rsidRPr="00A5619B">
        <w:t>.</w:t>
      </w:r>
      <w:r w:rsidR="007F32D4">
        <w:t xml:space="preserve"> The regulator(s) </w:t>
      </w:r>
      <w:r w:rsidR="00E15791">
        <w:t xml:space="preserve">in relation to </w:t>
      </w:r>
      <w:r w:rsidR="007F32D4">
        <w:t xml:space="preserve">Wales will be announced in due course. </w:t>
      </w:r>
    </w:p>
    <w:p w14:paraId="0547EE45" w14:textId="77777777" w:rsidR="00B23DB4" w:rsidRDefault="00B23DB4" w:rsidP="00B23DB4"/>
    <w:p w14:paraId="338C8291" w14:textId="77777777" w:rsidR="00B23DB4" w:rsidRPr="00B371C2" w:rsidRDefault="007F32D4" w:rsidP="00B371C2">
      <w:pPr>
        <w:rPr>
          <w:b/>
          <w:bCs/>
        </w:rPr>
      </w:pPr>
      <w:r>
        <w:rPr>
          <w:b/>
          <w:bCs/>
        </w:rPr>
        <w:t xml:space="preserve">3.2) </w:t>
      </w:r>
      <w:r w:rsidR="00AD7F43" w:rsidRPr="005931FE">
        <w:rPr>
          <w:b/>
          <w:bCs/>
        </w:rPr>
        <w:t>Who will r</w:t>
      </w:r>
      <w:r w:rsidR="0050581A">
        <w:rPr>
          <w:b/>
          <w:bCs/>
        </w:rPr>
        <w:t>egulate MCPs and Specified G</w:t>
      </w:r>
      <w:r w:rsidR="00B371C2">
        <w:rPr>
          <w:b/>
          <w:bCs/>
        </w:rPr>
        <w:t xml:space="preserve">enerators located within </w:t>
      </w:r>
      <w:r w:rsidR="00AD7F43" w:rsidRPr="00B371C2">
        <w:rPr>
          <w:b/>
          <w:bCs/>
        </w:rPr>
        <w:t>Part A</w:t>
      </w:r>
      <w:r w:rsidR="00A7628C" w:rsidRPr="00B371C2">
        <w:rPr>
          <w:b/>
          <w:bCs/>
        </w:rPr>
        <w:t xml:space="preserve"> </w:t>
      </w:r>
      <w:r w:rsidR="00BB1DA9" w:rsidRPr="00B371C2">
        <w:rPr>
          <w:b/>
          <w:bCs/>
        </w:rPr>
        <w:t xml:space="preserve">installations </w:t>
      </w:r>
      <w:r w:rsidR="00B371C2">
        <w:rPr>
          <w:b/>
          <w:bCs/>
        </w:rPr>
        <w:t xml:space="preserve">and </w:t>
      </w:r>
      <w:r w:rsidR="00AD7F43" w:rsidRPr="00B371C2">
        <w:rPr>
          <w:b/>
          <w:bCs/>
        </w:rPr>
        <w:t xml:space="preserve">Part </w:t>
      </w:r>
      <w:r w:rsidR="005B7DE2" w:rsidRPr="00B371C2">
        <w:rPr>
          <w:b/>
          <w:bCs/>
        </w:rPr>
        <w:t xml:space="preserve">B </w:t>
      </w:r>
      <w:r w:rsidR="0050581A">
        <w:rPr>
          <w:b/>
          <w:bCs/>
        </w:rPr>
        <w:t>I</w:t>
      </w:r>
      <w:r w:rsidR="006006BC" w:rsidRPr="00B371C2">
        <w:rPr>
          <w:b/>
          <w:bCs/>
        </w:rPr>
        <w:t>nstallations</w:t>
      </w:r>
      <w:r w:rsidR="00310C35">
        <w:rPr>
          <w:b/>
          <w:bCs/>
        </w:rPr>
        <w:t xml:space="preserve"> in England</w:t>
      </w:r>
      <w:r w:rsidR="007E44E5">
        <w:rPr>
          <w:b/>
          <w:bCs/>
        </w:rPr>
        <w:t xml:space="preserve"> and Wales</w:t>
      </w:r>
      <w:r w:rsidR="008D4C4E" w:rsidRPr="00B371C2">
        <w:rPr>
          <w:b/>
          <w:bCs/>
        </w:rPr>
        <w:t>?</w:t>
      </w:r>
    </w:p>
    <w:p w14:paraId="4A2E440F" w14:textId="77777777" w:rsidR="00BF24F3" w:rsidRDefault="00BF24F3" w:rsidP="00E11A2F">
      <w:r>
        <w:t xml:space="preserve">We are finalising the approach for regulating </w:t>
      </w:r>
      <w:r w:rsidRPr="00BF24F3">
        <w:t>MCPs and Specified Generators</w:t>
      </w:r>
      <w:r>
        <w:t xml:space="preserve"> </w:t>
      </w:r>
      <w:r w:rsidRPr="00BF24F3">
        <w:t>located within Part A installations and Part B Installations</w:t>
      </w:r>
      <w:r>
        <w:t>.  This will require an amendment to Regulation 32 of the EPR and we will share this when finalised.  However, plants in such circumstances will be required to comply with the MCPD and generator controls as a minimum, plus any requirements due to being part of an installation.</w:t>
      </w:r>
    </w:p>
    <w:p w14:paraId="4206DDD4" w14:textId="77777777" w:rsidR="001B66F2" w:rsidRDefault="001B66F2" w:rsidP="001B66F2">
      <w:pPr>
        <w:rPr>
          <w:b/>
        </w:rPr>
      </w:pPr>
    </w:p>
    <w:p w14:paraId="1C78DC78" w14:textId="77777777" w:rsidR="001B66F2" w:rsidRPr="006B7A96" w:rsidRDefault="00EC5974" w:rsidP="001B66F2">
      <w:pPr>
        <w:rPr>
          <w:b/>
        </w:rPr>
      </w:pPr>
      <w:r>
        <w:rPr>
          <w:b/>
        </w:rPr>
        <w:t>3.3</w:t>
      </w:r>
      <w:r w:rsidR="003D79F6">
        <w:rPr>
          <w:b/>
        </w:rPr>
        <w:t xml:space="preserve">) </w:t>
      </w:r>
      <w:r w:rsidR="001B66F2" w:rsidRPr="006B7A96">
        <w:rPr>
          <w:b/>
        </w:rPr>
        <w:t>If a</w:t>
      </w:r>
      <w:r w:rsidR="001B66F2">
        <w:rPr>
          <w:b/>
        </w:rPr>
        <w:t>n</w:t>
      </w:r>
      <w:r w:rsidR="001F5F49">
        <w:rPr>
          <w:b/>
        </w:rPr>
        <w:t xml:space="preserve"> MCP is </w:t>
      </w:r>
      <w:r w:rsidR="005F258B">
        <w:rPr>
          <w:b/>
        </w:rPr>
        <w:t xml:space="preserve">also </w:t>
      </w:r>
      <w:r w:rsidR="001F5F49">
        <w:rPr>
          <w:b/>
        </w:rPr>
        <w:t>a Specified G</w:t>
      </w:r>
      <w:r w:rsidR="001B66F2" w:rsidRPr="006B7A96">
        <w:rPr>
          <w:b/>
        </w:rPr>
        <w:t xml:space="preserve">enerator, will the MCPD definition of </w:t>
      </w:r>
      <w:r w:rsidR="001F5F49">
        <w:rPr>
          <w:b/>
        </w:rPr>
        <w:t>‘</w:t>
      </w:r>
      <w:r w:rsidR="001B66F2" w:rsidRPr="006B7A96">
        <w:rPr>
          <w:b/>
        </w:rPr>
        <w:t>new</w:t>
      </w:r>
      <w:r w:rsidR="001F5F49">
        <w:rPr>
          <w:b/>
        </w:rPr>
        <w:t>’</w:t>
      </w:r>
      <w:r w:rsidR="001B66F2" w:rsidRPr="006B7A96">
        <w:rPr>
          <w:b/>
        </w:rPr>
        <w:t xml:space="preserve"> and </w:t>
      </w:r>
      <w:r w:rsidR="001F5F49">
        <w:rPr>
          <w:b/>
        </w:rPr>
        <w:t>‘</w:t>
      </w:r>
      <w:r w:rsidR="001B66F2" w:rsidRPr="006B7A96">
        <w:rPr>
          <w:b/>
        </w:rPr>
        <w:t>existing</w:t>
      </w:r>
      <w:r w:rsidR="001F5F49">
        <w:rPr>
          <w:b/>
        </w:rPr>
        <w:t>’</w:t>
      </w:r>
      <w:r w:rsidR="001B66F2" w:rsidRPr="006B7A96">
        <w:rPr>
          <w:b/>
        </w:rPr>
        <w:t xml:space="preserve"> plant still be applied for determining the permitting deadline and permit conditions?</w:t>
      </w:r>
    </w:p>
    <w:p w14:paraId="63AEA1E3" w14:textId="77777777" w:rsidR="001B66F2" w:rsidRDefault="001B66F2" w:rsidP="001B66F2">
      <w:r>
        <w:t xml:space="preserve">Yes. If a plant is in scope of the MCPD and </w:t>
      </w:r>
      <w:r w:rsidR="001F5F49">
        <w:t>Specified G</w:t>
      </w:r>
      <w:r>
        <w:t xml:space="preserve">enerator controls, it must comply with the emission controls set out in </w:t>
      </w:r>
      <w:r w:rsidR="001F5F49">
        <w:t xml:space="preserve">relation to </w:t>
      </w:r>
      <w:r>
        <w:t xml:space="preserve">both.  </w:t>
      </w:r>
      <w:r w:rsidR="00A650D2">
        <w:t>It will require a permit</w:t>
      </w:r>
      <w:r>
        <w:t xml:space="preserve"> from the earliest applicable date and the relevant emission controls, monitoring and data reporting requirements will apply from the dates </w:t>
      </w:r>
      <w:r w:rsidR="001F5F49">
        <w:t>specified in relation to MCPs and Specified Generators by the regulations</w:t>
      </w:r>
      <w:r>
        <w:t>.</w:t>
      </w:r>
    </w:p>
    <w:p w14:paraId="3D856771" w14:textId="77777777" w:rsidR="001A7243" w:rsidRDefault="001A7243" w:rsidP="00B23DB4"/>
    <w:p w14:paraId="41DE3C0F" w14:textId="77777777" w:rsidR="00B23DB4" w:rsidRPr="006B7A96" w:rsidRDefault="00EC5974" w:rsidP="00B23DB4">
      <w:pPr>
        <w:rPr>
          <w:b/>
        </w:rPr>
      </w:pPr>
      <w:r>
        <w:rPr>
          <w:b/>
        </w:rPr>
        <w:t>3.4</w:t>
      </w:r>
      <w:r w:rsidR="003D79F6">
        <w:rPr>
          <w:b/>
        </w:rPr>
        <w:t xml:space="preserve">) </w:t>
      </w:r>
      <w:r w:rsidR="001F5F49">
        <w:rPr>
          <w:b/>
        </w:rPr>
        <w:t xml:space="preserve">In what circumstances </w:t>
      </w:r>
      <w:r w:rsidR="00AD7F43" w:rsidRPr="006B7A96">
        <w:rPr>
          <w:b/>
        </w:rPr>
        <w:t xml:space="preserve">will </w:t>
      </w:r>
      <w:r w:rsidR="001F5F49">
        <w:rPr>
          <w:b/>
        </w:rPr>
        <w:t xml:space="preserve">the </w:t>
      </w:r>
      <w:r w:rsidR="00AD7F43" w:rsidRPr="006B7A96">
        <w:rPr>
          <w:b/>
        </w:rPr>
        <w:t xml:space="preserve">EA consult Local </w:t>
      </w:r>
      <w:r w:rsidR="00135B61">
        <w:rPr>
          <w:b/>
        </w:rPr>
        <w:t>A</w:t>
      </w:r>
      <w:r w:rsidR="00AD7F43" w:rsidRPr="006B7A96">
        <w:rPr>
          <w:b/>
        </w:rPr>
        <w:t>ut</w:t>
      </w:r>
      <w:r w:rsidR="001F5F49">
        <w:rPr>
          <w:b/>
        </w:rPr>
        <w:t xml:space="preserve">horities on permit conditions? </w:t>
      </w:r>
    </w:p>
    <w:p w14:paraId="05B2D568" w14:textId="77777777" w:rsidR="00AD7F43" w:rsidRPr="00E11A2F" w:rsidRDefault="00A650D2" w:rsidP="00B23DB4">
      <w:r>
        <w:t xml:space="preserve">It is envisaged that, in relation to lower-risk plant, </w:t>
      </w:r>
      <w:r w:rsidRPr="00E11A2F">
        <w:t>the</w:t>
      </w:r>
      <w:r>
        <w:t xml:space="preserve"> EA will</w:t>
      </w:r>
      <w:r w:rsidR="00160D06" w:rsidRPr="00E11A2F">
        <w:t xml:space="preserve"> notify </w:t>
      </w:r>
      <w:r w:rsidR="00160D06">
        <w:t xml:space="preserve">the Local </w:t>
      </w:r>
      <w:r w:rsidR="00135B61">
        <w:t>A</w:t>
      </w:r>
      <w:r w:rsidR="00160D06">
        <w:t xml:space="preserve">uthority </w:t>
      </w:r>
      <w:r>
        <w:t xml:space="preserve">in whose area </w:t>
      </w:r>
      <w:r w:rsidR="00CD6FF3">
        <w:t>the plant is located</w:t>
      </w:r>
      <w:r w:rsidR="002765F5">
        <w:t xml:space="preserve"> </w:t>
      </w:r>
      <w:r w:rsidR="003D79F6">
        <w:t>when a permit is issue</w:t>
      </w:r>
      <w:r w:rsidR="002E70E0">
        <w:t>d</w:t>
      </w:r>
      <w:r w:rsidR="003D79F6">
        <w:t xml:space="preserve"> </w:t>
      </w:r>
      <w:r w:rsidR="002765F5">
        <w:t xml:space="preserve">and, in relation to higher-risk plant, </w:t>
      </w:r>
      <w:r w:rsidR="00160D06">
        <w:t>consult</w:t>
      </w:r>
      <w:r w:rsidR="002765F5">
        <w:t xml:space="preserve"> that Local Authority</w:t>
      </w:r>
      <w:r w:rsidR="003D79F6">
        <w:t xml:space="preserve"> </w:t>
      </w:r>
      <w:r w:rsidR="002E70E0">
        <w:t>when</w:t>
      </w:r>
      <w:r w:rsidR="003D79F6">
        <w:t xml:space="preserve"> determin</w:t>
      </w:r>
      <w:r w:rsidR="002E70E0">
        <w:t>ing</w:t>
      </w:r>
      <w:r w:rsidR="003D79F6">
        <w:t xml:space="preserve"> permit conditions</w:t>
      </w:r>
      <w:r w:rsidR="00160D06">
        <w:t xml:space="preserve">.  </w:t>
      </w:r>
      <w:r w:rsidR="00E11A2F" w:rsidRPr="00E11A2F">
        <w:t>The exact approach is being developed by the EA in discussion with stakeholders</w:t>
      </w:r>
      <w:r w:rsidR="00135B61">
        <w:t>.</w:t>
      </w:r>
    </w:p>
    <w:p w14:paraId="38B1B4F9" w14:textId="77777777" w:rsidR="00356090" w:rsidRPr="006B7A96" w:rsidRDefault="00356090" w:rsidP="00B23DB4">
      <w:pPr>
        <w:rPr>
          <w:b/>
        </w:rPr>
      </w:pPr>
    </w:p>
    <w:p w14:paraId="14788528" w14:textId="77777777" w:rsidR="001B66F2" w:rsidRPr="002272ED" w:rsidRDefault="00396236" w:rsidP="001B66F2">
      <w:pPr>
        <w:rPr>
          <w:b/>
        </w:rPr>
      </w:pPr>
      <w:r>
        <w:rPr>
          <w:b/>
        </w:rPr>
        <w:t>3.5</w:t>
      </w:r>
      <w:r w:rsidR="003D79F6">
        <w:rPr>
          <w:b/>
        </w:rPr>
        <w:t xml:space="preserve">) </w:t>
      </w:r>
      <w:r w:rsidR="001B66F2" w:rsidRPr="002272ED">
        <w:rPr>
          <w:b/>
        </w:rPr>
        <w:t xml:space="preserve">When will operators be able to apply for </w:t>
      </w:r>
      <w:r w:rsidR="00CD6FF3">
        <w:rPr>
          <w:b/>
        </w:rPr>
        <w:t>a permit</w:t>
      </w:r>
      <w:r w:rsidR="001B66F2" w:rsidRPr="002272ED">
        <w:rPr>
          <w:b/>
        </w:rPr>
        <w:t>?</w:t>
      </w:r>
    </w:p>
    <w:p w14:paraId="6E991B0E" w14:textId="77777777" w:rsidR="001B66F2" w:rsidRDefault="001B66F2" w:rsidP="001B66F2">
      <w:r>
        <w:t xml:space="preserve">The EA has not yet </w:t>
      </w:r>
      <w:r w:rsidR="00CD6FF3">
        <w:t>specified</w:t>
      </w:r>
      <w:r>
        <w:t xml:space="preserve"> a date from </w:t>
      </w:r>
      <w:r w:rsidR="00CD6FF3">
        <w:t>which</w:t>
      </w:r>
      <w:r>
        <w:t xml:space="preserve"> </w:t>
      </w:r>
      <w:r w:rsidR="00EC5974">
        <w:t>the relevant application documentation will be available</w:t>
      </w:r>
      <w:r w:rsidR="00CD6FF3">
        <w:t>, but will do so as soon as possible</w:t>
      </w:r>
      <w:r>
        <w:t>.</w:t>
      </w:r>
    </w:p>
    <w:p w14:paraId="02AFEBE4" w14:textId="77777777" w:rsidR="001B66F2" w:rsidRDefault="001B66F2" w:rsidP="001B66F2"/>
    <w:p w14:paraId="31F92A6C" w14:textId="77777777" w:rsidR="00B23DB4" w:rsidRPr="0085033C" w:rsidRDefault="00396236" w:rsidP="00B23DB4">
      <w:pPr>
        <w:rPr>
          <w:b/>
        </w:rPr>
      </w:pPr>
      <w:r>
        <w:rPr>
          <w:b/>
        </w:rPr>
        <w:t>3.6</w:t>
      </w:r>
      <w:r w:rsidR="003D79F6">
        <w:rPr>
          <w:b/>
        </w:rPr>
        <w:t xml:space="preserve">) </w:t>
      </w:r>
      <w:r w:rsidR="00B23DB4" w:rsidRPr="0085033C">
        <w:rPr>
          <w:b/>
        </w:rPr>
        <w:t xml:space="preserve">Will </w:t>
      </w:r>
      <w:r w:rsidR="007324FD" w:rsidRPr="0085033C">
        <w:rPr>
          <w:b/>
        </w:rPr>
        <w:t>the</w:t>
      </w:r>
      <w:r w:rsidR="00C967A1">
        <w:rPr>
          <w:b/>
        </w:rPr>
        <w:t>re</w:t>
      </w:r>
      <w:r w:rsidR="00B23DB4" w:rsidRPr="0085033C">
        <w:rPr>
          <w:b/>
        </w:rPr>
        <w:t xml:space="preserve"> be fees </w:t>
      </w:r>
      <w:r w:rsidR="00C967A1">
        <w:rPr>
          <w:b/>
        </w:rPr>
        <w:t>and charges for operators</w:t>
      </w:r>
      <w:r w:rsidR="007324FD" w:rsidRPr="0085033C">
        <w:rPr>
          <w:b/>
        </w:rPr>
        <w:t>?</w:t>
      </w:r>
    </w:p>
    <w:p w14:paraId="3EDD4B9A" w14:textId="77777777" w:rsidR="00C10AEF" w:rsidRPr="00370797" w:rsidRDefault="00396236" w:rsidP="00C10AEF">
      <w:pPr>
        <w:rPr>
          <w:rFonts w:cstheme="minorBidi"/>
        </w:rPr>
      </w:pPr>
      <w:r>
        <w:rPr>
          <w:rFonts w:cs="Arial"/>
          <w:iCs/>
        </w:rPr>
        <w:t>The EA</w:t>
      </w:r>
      <w:r w:rsidR="00C10AEF" w:rsidRPr="00370797">
        <w:rPr>
          <w:rFonts w:cs="Arial"/>
          <w:iCs/>
        </w:rPr>
        <w:t xml:space="preserve"> will derive </w:t>
      </w:r>
      <w:r w:rsidR="00CD6FF3">
        <w:rPr>
          <w:rFonts w:cs="Arial"/>
          <w:iCs/>
        </w:rPr>
        <w:t>an appropriate fees and charges</w:t>
      </w:r>
      <w:r w:rsidR="00C10AEF" w:rsidRPr="00370797">
        <w:rPr>
          <w:rFonts w:cs="Arial"/>
          <w:iCs/>
        </w:rPr>
        <w:t xml:space="preserve"> structure based on </w:t>
      </w:r>
      <w:r w:rsidR="002765F5">
        <w:rPr>
          <w:rFonts w:cs="Arial"/>
          <w:iCs/>
        </w:rPr>
        <w:t>the costs of discharging their regulatory functions</w:t>
      </w:r>
      <w:r w:rsidR="00CD6FF3">
        <w:rPr>
          <w:rFonts w:cs="Arial"/>
          <w:iCs/>
        </w:rPr>
        <w:t xml:space="preserve"> in relation to MCPs and Specified Generators</w:t>
      </w:r>
      <w:r w:rsidR="00C10AEF" w:rsidRPr="00370797">
        <w:rPr>
          <w:rFonts w:cs="Arial"/>
          <w:iCs/>
        </w:rPr>
        <w:t xml:space="preserve">. </w:t>
      </w:r>
      <w:r w:rsidR="00CD6FF3">
        <w:rPr>
          <w:rFonts w:cs="Arial"/>
          <w:iCs/>
        </w:rPr>
        <w:t xml:space="preserve"> </w:t>
      </w:r>
      <w:r w:rsidR="00C10AEF" w:rsidRPr="00370797">
        <w:rPr>
          <w:rFonts w:cs="Arial"/>
          <w:iCs/>
        </w:rPr>
        <w:t xml:space="preserve">This will be determined as soon as possible. </w:t>
      </w:r>
      <w:r w:rsidR="00CD6FF3">
        <w:rPr>
          <w:rFonts w:cs="Arial"/>
          <w:iCs/>
        </w:rPr>
        <w:t xml:space="preserve"> The EA is</w:t>
      </w:r>
      <w:r w:rsidR="00C10AEF" w:rsidRPr="00370797">
        <w:rPr>
          <w:rFonts w:cs="Arial"/>
          <w:iCs/>
        </w:rPr>
        <w:t xml:space="preserve"> also carrying out a strategic review of </w:t>
      </w:r>
      <w:r w:rsidR="00CD6FF3">
        <w:rPr>
          <w:rFonts w:cs="Arial"/>
          <w:iCs/>
        </w:rPr>
        <w:t>its</w:t>
      </w:r>
      <w:r w:rsidR="00C10AEF" w:rsidRPr="00370797">
        <w:rPr>
          <w:rFonts w:cs="Arial"/>
          <w:iCs/>
        </w:rPr>
        <w:t xml:space="preserve"> overall charging scheme and this is expected to conclude in time for implementation in 2018.</w:t>
      </w:r>
    </w:p>
    <w:p w14:paraId="4AAA1FAC" w14:textId="77777777" w:rsidR="005012CC" w:rsidRDefault="005012CC" w:rsidP="005012CC">
      <w:pPr>
        <w:rPr>
          <w:b/>
        </w:rPr>
      </w:pPr>
    </w:p>
    <w:p w14:paraId="7B8DE352" w14:textId="77777777" w:rsidR="001B66F2" w:rsidRPr="002272ED" w:rsidRDefault="00396236" w:rsidP="001B66F2">
      <w:pPr>
        <w:rPr>
          <w:b/>
        </w:rPr>
      </w:pPr>
      <w:r>
        <w:rPr>
          <w:b/>
        </w:rPr>
        <w:t>3.7</w:t>
      </w:r>
      <w:r w:rsidR="003D79F6">
        <w:rPr>
          <w:b/>
        </w:rPr>
        <w:t xml:space="preserve">) </w:t>
      </w:r>
      <w:r w:rsidR="001B66F2" w:rsidRPr="002272ED">
        <w:rPr>
          <w:b/>
        </w:rPr>
        <w:t xml:space="preserve">Will guidance </w:t>
      </w:r>
      <w:r w:rsidR="00CD6FF3">
        <w:rPr>
          <w:b/>
        </w:rPr>
        <w:t xml:space="preserve">be provided </w:t>
      </w:r>
      <w:r w:rsidR="001B66F2" w:rsidRPr="002272ED">
        <w:rPr>
          <w:b/>
        </w:rPr>
        <w:t xml:space="preserve">on </w:t>
      </w:r>
      <w:r w:rsidR="00CD6FF3">
        <w:rPr>
          <w:b/>
        </w:rPr>
        <w:t>the circumstances in which</w:t>
      </w:r>
      <w:r w:rsidR="001B66F2" w:rsidRPr="002272ED">
        <w:rPr>
          <w:b/>
        </w:rPr>
        <w:t xml:space="preserve"> air quality modelling is</w:t>
      </w:r>
      <w:r w:rsidR="00CD6FF3">
        <w:rPr>
          <w:b/>
        </w:rPr>
        <w:t xml:space="preserve"> required?</w:t>
      </w:r>
    </w:p>
    <w:p w14:paraId="0D56B8D4" w14:textId="77777777" w:rsidR="001B66F2" w:rsidRPr="00CF7CF5" w:rsidRDefault="00CD6FF3" w:rsidP="001B66F2">
      <w:r>
        <w:t xml:space="preserve">Yes.  </w:t>
      </w:r>
      <w:r w:rsidR="001B66F2" w:rsidRPr="00CF7CF5">
        <w:t>The EA is developing such guidance in discussion w</w:t>
      </w:r>
      <w:r>
        <w:t xml:space="preserve">ith stakeholders and it will be available as soon as possible.  </w:t>
      </w:r>
    </w:p>
    <w:p w14:paraId="52FD5031" w14:textId="77777777" w:rsidR="001B66F2" w:rsidRDefault="001B66F2" w:rsidP="001B66F2"/>
    <w:p w14:paraId="5AFA43F6" w14:textId="77777777" w:rsidR="005012CC" w:rsidRPr="002272ED" w:rsidRDefault="00396236" w:rsidP="005012CC">
      <w:pPr>
        <w:rPr>
          <w:b/>
        </w:rPr>
      </w:pPr>
      <w:r>
        <w:rPr>
          <w:b/>
        </w:rPr>
        <w:t>3.8</w:t>
      </w:r>
      <w:r w:rsidR="003D79F6">
        <w:rPr>
          <w:b/>
        </w:rPr>
        <w:t xml:space="preserve">) </w:t>
      </w:r>
      <w:r w:rsidR="005012CC" w:rsidRPr="002272ED">
        <w:rPr>
          <w:b/>
        </w:rPr>
        <w:t xml:space="preserve">How will </w:t>
      </w:r>
      <w:r w:rsidR="00CD6FF3">
        <w:rPr>
          <w:b/>
        </w:rPr>
        <w:t>information that is confidential or a national security risk be handled</w:t>
      </w:r>
      <w:r w:rsidR="005012CC">
        <w:rPr>
          <w:b/>
        </w:rPr>
        <w:t>?</w:t>
      </w:r>
    </w:p>
    <w:p w14:paraId="4E0E1E3E" w14:textId="77777777" w:rsidR="005012CC" w:rsidRDefault="00CD6FF3" w:rsidP="005012CC">
      <w:r>
        <w:t>T</w:t>
      </w:r>
      <w:r w:rsidR="005012CC">
        <w:t xml:space="preserve">he </w:t>
      </w:r>
      <w:r>
        <w:t xml:space="preserve">existing </w:t>
      </w:r>
      <w:r w:rsidR="005012CC">
        <w:t xml:space="preserve">provisions </w:t>
      </w:r>
      <w:r>
        <w:t>of the EPR 2016</w:t>
      </w:r>
      <w:r w:rsidR="005012CC">
        <w:t xml:space="preserve"> </w:t>
      </w:r>
      <w:r>
        <w:t xml:space="preserve">in relation to such information </w:t>
      </w:r>
      <w:r w:rsidR="005012CC">
        <w:t xml:space="preserve">will apply.  </w:t>
      </w:r>
      <w:r>
        <w:t xml:space="preserve">Discussion with the regulator in advance of making an application may be helpful in this regard.  </w:t>
      </w:r>
    </w:p>
    <w:sectPr w:rsidR="005012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FA281" w14:textId="77777777" w:rsidR="00C83EEB" w:rsidRDefault="00C83EEB" w:rsidP="00E11A2F">
      <w:r>
        <w:separator/>
      </w:r>
    </w:p>
  </w:endnote>
  <w:endnote w:type="continuationSeparator" w:id="0">
    <w:p w14:paraId="0BFA9A4B" w14:textId="77777777" w:rsidR="00C83EEB" w:rsidRDefault="00C83EEB" w:rsidP="00E1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9019E" w14:textId="77777777" w:rsidR="00C83EEB" w:rsidRDefault="00C83EEB" w:rsidP="00E11A2F">
      <w:r>
        <w:separator/>
      </w:r>
    </w:p>
  </w:footnote>
  <w:footnote w:type="continuationSeparator" w:id="0">
    <w:p w14:paraId="7561FF92" w14:textId="77777777" w:rsidR="00C83EEB" w:rsidRDefault="00C83EEB" w:rsidP="00E11A2F">
      <w:r>
        <w:continuationSeparator/>
      </w:r>
    </w:p>
  </w:footnote>
  <w:footnote w:id="1">
    <w:p w14:paraId="0230D209" w14:textId="77777777" w:rsidR="00CD6FF3" w:rsidRDefault="00CD6FF3" w:rsidP="00CD6FF3">
      <w:pPr>
        <w:pStyle w:val="FootnoteText"/>
      </w:pPr>
      <w:r>
        <w:rPr>
          <w:rStyle w:val="FootnoteReference"/>
        </w:rPr>
        <w:footnoteRef/>
      </w:r>
      <w:r>
        <w:t xml:space="preserve"> A summary of these placing on the market standards is available at </w:t>
      </w:r>
      <w:hyperlink r:id="rId1" w:history="1">
        <w:r w:rsidRPr="001C15D2">
          <w:rPr>
            <w:rStyle w:val="Hyperlink"/>
          </w:rPr>
          <w:t>https://www.dieselnet.com/standards/eu/nonroad.php</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39A"/>
    <w:multiLevelType w:val="multilevel"/>
    <w:tmpl w:val="B36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9B0BB9"/>
    <w:multiLevelType w:val="hybridMultilevel"/>
    <w:tmpl w:val="EBC80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C0C2E"/>
    <w:multiLevelType w:val="hybridMultilevel"/>
    <w:tmpl w:val="4B6002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6846CD"/>
    <w:multiLevelType w:val="hybridMultilevel"/>
    <w:tmpl w:val="C0029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9277B8"/>
    <w:multiLevelType w:val="hybridMultilevel"/>
    <w:tmpl w:val="1E32C61C"/>
    <w:lvl w:ilvl="0" w:tplc="60006B34">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0B2261"/>
    <w:multiLevelType w:val="hybridMultilevel"/>
    <w:tmpl w:val="28D02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D05DD9"/>
    <w:multiLevelType w:val="hybridMultilevel"/>
    <w:tmpl w:val="12FC97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1C2A2F"/>
    <w:multiLevelType w:val="hybridMultilevel"/>
    <w:tmpl w:val="75466D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B4"/>
    <w:rsid w:val="00002C9A"/>
    <w:rsid w:val="00005984"/>
    <w:rsid w:val="00006F9A"/>
    <w:rsid w:val="000128C0"/>
    <w:rsid w:val="0003695A"/>
    <w:rsid w:val="00056142"/>
    <w:rsid w:val="00066A64"/>
    <w:rsid w:val="00086B28"/>
    <w:rsid w:val="00086FE0"/>
    <w:rsid w:val="000B61B5"/>
    <w:rsid w:val="000C08A2"/>
    <w:rsid w:val="000C1127"/>
    <w:rsid w:val="000C2689"/>
    <w:rsid w:val="000D1C8E"/>
    <w:rsid w:val="000D3C71"/>
    <w:rsid w:val="000D5DA7"/>
    <w:rsid w:val="000E07C1"/>
    <w:rsid w:val="000E2089"/>
    <w:rsid w:val="000E6C55"/>
    <w:rsid w:val="001009C4"/>
    <w:rsid w:val="001042B1"/>
    <w:rsid w:val="001123AC"/>
    <w:rsid w:val="001250A9"/>
    <w:rsid w:val="001251AD"/>
    <w:rsid w:val="0013492F"/>
    <w:rsid w:val="00135B61"/>
    <w:rsid w:val="001444C1"/>
    <w:rsid w:val="0015393C"/>
    <w:rsid w:val="00153BA5"/>
    <w:rsid w:val="00160D06"/>
    <w:rsid w:val="001975CD"/>
    <w:rsid w:val="001977BF"/>
    <w:rsid w:val="001A2C5A"/>
    <w:rsid w:val="001A7243"/>
    <w:rsid w:val="001B66F2"/>
    <w:rsid w:val="001D2666"/>
    <w:rsid w:val="001E48F2"/>
    <w:rsid w:val="001F08FD"/>
    <w:rsid w:val="001F5F49"/>
    <w:rsid w:val="002112B1"/>
    <w:rsid w:val="002272ED"/>
    <w:rsid w:val="0024054E"/>
    <w:rsid w:val="00250C53"/>
    <w:rsid w:val="002628A3"/>
    <w:rsid w:val="00262913"/>
    <w:rsid w:val="0026401A"/>
    <w:rsid w:val="002765F5"/>
    <w:rsid w:val="00285968"/>
    <w:rsid w:val="002866C4"/>
    <w:rsid w:val="00286C74"/>
    <w:rsid w:val="00291A2F"/>
    <w:rsid w:val="002A5255"/>
    <w:rsid w:val="002A6A0C"/>
    <w:rsid w:val="002B51A6"/>
    <w:rsid w:val="002B5C6C"/>
    <w:rsid w:val="002C7A80"/>
    <w:rsid w:val="002D21FD"/>
    <w:rsid w:val="002D619E"/>
    <w:rsid w:val="002E4320"/>
    <w:rsid w:val="002E66E2"/>
    <w:rsid w:val="002E70E0"/>
    <w:rsid w:val="002E72A1"/>
    <w:rsid w:val="002F6E6F"/>
    <w:rsid w:val="002F73F4"/>
    <w:rsid w:val="00300764"/>
    <w:rsid w:val="00300D7F"/>
    <w:rsid w:val="003029D3"/>
    <w:rsid w:val="00310C35"/>
    <w:rsid w:val="0031794C"/>
    <w:rsid w:val="00317EFD"/>
    <w:rsid w:val="00326B61"/>
    <w:rsid w:val="003279C5"/>
    <w:rsid w:val="00334A21"/>
    <w:rsid w:val="00356090"/>
    <w:rsid w:val="003635C1"/>
    <w:rsid w:val="00370797"/>
    <w:rsid w:val="00373CB4"/>
    <w:rsid w:val="00375BB3"/>
    <w:rsid w:val="00394566"/>
    <w:rsid w:val="00396236"/>
    <w:rsid w:val="003A26A3"/>
    <w:rsid w:val="003C0A5E"/>
    <w:rsid w:val="003D79F6"/>
    <w:rsid w:val="003F737A"/>
    <w:rsid w:val="004126EB"/>
    <w:rsid w:val="00413D04"/>
    <w:rsid w:val="004330B0"/>
    <w:rsid w:val="00440CDD"/>
    <w:rsid w:val="00441BAB"/>
    <w:rsid w:val="004478DC"/>
    <w:rsid w:val="004507D0"/>
    <w:rsid w:val="0046016F"/>
    <w:rsid w:val="00460859"/>
    <w:rsid w:val="00460E05"/>
    <w:rsid w:val="00467DCD"/>
    <w:rsid w:val="0048164D"/>
    <w:rsid w:val="00483512"/>
    <w:rsid w:val="0048384D"/>
    <w:rsid w:val="00484DF2"/>
    <w:rsid w:val="004A0CA6"/>
    <w:rsid w:val="004A2FD5"/>
    <w:rsid w:val="004B2AD0"/>
    <w:rsid w:val="004D7937"/>
    <w:rsid w:val="004E14E1"/>
    <w:rsid w:val="005012CC"/>
    <w:rsid w:val="00503A41"/>
    <w:rsid w:val="005047E6"/>
    <w:rsid w:val="0050540B"/>
    <w:rsid w:val="0050581A"/>
    <w:rsid w:val="00511A99"/>
    <w:rsid w:val="00512238"/>
    <w:rsid w:val="0052586B"/>
    <w:rsid w:val="00540765"/>
    <w:rsid w:val="00552D60"/>
    <w:rsid w:val="00563654"/>
    <w:rsid w:val="005702AF"/>
    <w:rsid w:val="0059027A"/>
    <w:rsid w:val="005931FE"/>
    <w:rsid w:val="005A0D78"/>
    <w:rsid w:val="005A264E"/>
    <w:rsid w:val="005A2F48"/>
    <w:rsid w:val="005B3479"/>
    <w:rsid w:val="005B6E01"/>
    <w:rsid w:val="005B7DE2"/>
    <w:rsid w:val="005D1E11"/>
    <w:rsid w:val="005D504F"/>
    <w:rsid w:val="005D7880"/>
    <w:rsid w:val="005F258B"/>
    <w:rsid w:val="006006BC"/>
    <w:rsid w:val="00602EC6"/>
    <w:rsid w:val="00605369"/>
    <w:rsid w:val="006172FF"/>
    <w:rsid w:val="006337EB"/>
    <w:rsid w:val="0063418E"/>
    <w:rsid w:val="00636D60"/>
    <w:rsid w:val="00661BB7"/>
    <w:rsid w:val="00661C19"/>
    <w:rsid w:val="00670F90"/>
    <w:rsid w:val="00681218"/>
    <w:rsid w:val="006862EE"/>
    <w:rsid w:val="00690453"/>
    <w:rsid w:val="00692BA8"/>
    <w:rsid w:val="00695697"/>
    <w:rsid w:val="006A0C48"/>
    <w:rsid w:val="006B7A96"/>
    <w:rsid w:val="006C6CF2"/>
    <w:rsid w:val="006D4AF7"/>
    <w:rsid w:val="006D4C6A"/>
    <w:rsid w:val="006E0ECC"/>
    <w:rsid w:val="006E5465"/>
    <w:rsid w:val="006E7B02"/>
    <w:rsid w:val="006F30DE"/>
    <w:rsid w:val="006F7B81"/>
    <w:rsid w:val="00700F7D"/>
    <w:rsid w:val="00713912"/>
    <w:rsid w:val="00727670"/>
    <w:rsid w:val="00731084"/>
    <w:rsid w:val="007324FD"/>
    <w:rsid w:val="00736669"/>
    <w:rsid w:val="00736CCA"/>
    <w:rsid w:val="00745199"/>
    <w:rsid w:val="00746A37"/>
    <w:rsid w:val="007519D7"/>
    <w:rsid w:val="0076161C"/>
    <w:rsid w:val="00770061"/>
    <w:rsid w:val="007812DE"/>
    <w:rsid w:val="00782E18"/>
    <w:rsid w:val="00783117"/>
    <w:rsid w:val="007856B8"/>
    <w:rsid w:val="00790FDF"/>
    <w:rsid w:val="00794011"/>
    <w:rsid w:val="0079669E"/>
    <w:rsid w:val="007A4EC4"/>
    <w:rsid w:val="007D40D3"/>
    <w:rsid w:val="007E44E5"/>
    <w:rsid w:val="007F0B45"/>
    <w:rsid w:val="007F10D8"/>
    <w:rsid w:val="007F32D4"/>
    <w:rsid w:val="00817AED"/>
    <w:rsid w:val="00820645"/>
    <w:rsid w:val="00821E87"/>
    <w:rsid w:val="00823717"/>
    <w:rsid w:val="0083290E"/>
    <w:rsid w:val="0085033C"/>
    <w:rsid w:val="00855F5D"/>
    <w:rsid w:val="008720ED"/>
    <w:rsid w:val="00873A71"/>
    <w:rsid w:val="008810A6"/>
    <w:rsid w:val="00892926"/>
    <w:rsid w:val="008B054B"/>
    <w:rsid w:val="008B0C38"/>
    <w:rsid w:val="008B32BA"/>
    <w:rsid w:val="008B3F10"/>
    <w:rsid w:val="008C08D3"/>
    <w:rsid w:val="008C34F4"/>
    <w:rsid w:val="008C40C8"/>
    <w:rsid w:val="008C423C"/>
    <w:rsid w:val="008D1D6D"/>
    <w:rsid w:val="008D36CD"/>
    <w:rsid w:val="008D442C"/>
    <w:rsid w:val="008D4C4E"/>
    <w:rsid w:val="009042F1"/>
    <w:rsid w:val="009062FB"/>
    <w:rsid w:val="00922A46"/>
    <w:rsid w:val="00923991"/>
    <w:rsid w:val="00924E27"/>
    <w:rsid w:val="0094079A"/>
    <w:rsid w:val="0094226E"/>
    <w:rsid w:val="009449B1"/>
    <w:rsid w:val="00964BE7"/>
    <w:rsid w:val="00970F64"/>
    <w:rsid w:val="00971DFF"/>
    <w:rsid w:val="009821E7"/>
    <w:rsid w:val="0098549E"/>
    <w:rsid w:val="00986940"/>
    <w:rsid w:val="009A6CE3"/>
    <w:rsid w:val="009B069B"/>
    <w:rsid w:val="009B141E"/>
    <w:rsid w:val="009B36EF"/>
    <w:rsid w:val="009D628D"/>
    <w:rsid w:val="009F08A5"/>
    <w:rsid w:val="00A244D5"/>
    <w:rsid w:val="00A27F2E"/>
    <w:rsid w:val="00A40557"/>
    <w:rsid w:val="00A4654C"/>
    <w:rsid w:val="00A5619B"/>
    <w:rsid w:val="00A650D2"/>
    <w:rsid w:val="00A7628C"/>
    <w:rsid w:val="00A81959"/>
    <w:rsid w:val="00A81DBB"/>
    <w:rsid w:val="00A82EDA"/>
    <w:rsid w:val="00A9654D"/>
    <w:rsid w:val="00AA39D5"/>
    <w:rsid w:val="00AA5EF0"/>
    <w:rsid w:val="00AC0C20"/>
    <w:rsid w:val="00AC7FBB"/>
    <w:rsid w:val="00AD353F"/>
    <w:rsid w:val="00AD7F43"/>
    <w:rsid w:val="00AE1C5D"/>
    <w:rsid w:val="00AE5754"/>
    <w:rsid w:val="00B23DB4"/>
    <w:rsid w:val="00B371C2"/>
    <w:rsid w:val="00B40E7D"/>
    <w:rsid w:val="00B438D5"/>
    <w:rsid w:val="00B52D13"/>
    <w:rsid w:val="00B61755"/>
    <w:rsid w:val="00B62AB9"/>
    <w:rsid w:val="00B7561F"/>
    <w:rsid w:val="00B83D15"/>
    <w:rsid w:val="00B9048F"/>
    <w:rsid w:val="00B96B52"/>
    <w:rsid w:val="00BA30FF"/>
    <w:rsid w:val="00BB0CD8"/>
    <w:rsid w:val="00BB1DA9"/>
    <w:rsid w:val="00BE3403"/>
    <w:rsid w:val="00BE4BAA"/>
    <w:rsid w:val="00BE6BAB"/>
    <w:rsid w:val="00BF24F3"/>
    <w:rsid w:val="00C10AEF"/>
    <w:rsid w:val="00C11E12"/>
    <w:rsid w:val="00C35D18"/>
    <w:rsid w:val="00C406E0"/>
    <w:rsid w:val="00C511E6"/>
    <w:rsid w:val="00C63027"/>
    <w:rsid w:val="00C63931"/>
    <w:rsid w:val="00C70BB4"/>
    <w:rsid w:val="00C75A0C"/>
    <w:rsid w:val="00C83EEB"/>
    <w:rsid w:val="00C851ED"/>
    <w:rsid w:val="00C96301"/>
    <w:rsid w:val="00C967A1"/>
    <w:rsid w:val="00CA15DA"/>
    <w:rsid w:val="00CB2AE4"/>
    <w:rsid w:val="00CB418C"/>
    <w:rsid w:val="00CB42E9"/>
    <w:rsid w:val="00CB55BA"/>
    <w:rsid w:val="00CD6FF3"/>
    <w:rsid w:val="00CE1CCC"/>
    <w:rsid w:val="00CF7CF5"/>
    <w:rsid w:val="00D05FA4"/>
    <w:rsid w:val="00D31ABB"/>
    <w:rsid w:val="00D52DCE"/>
    <w:rsid w:val="00D73A9E"/>
    <w:rsid w:val="00D84ADD"/>
    <w:rsid w:val="00D96473"/>
    <w:rsid w:val="00D96C9F"/>
    <w:rsid w:val="00DA3579"/>
    <w:rsid w:val="00DA5EDC"/>
    <w:rsid w:val="00DB6DD5"/>
    <w:rsid w:val="00DC1D0D"/>
    <w:rsid w:val="00DE6396"/>
    <w:rsid w:val="00DE7D86"/>
    <w:rsid w:val="00DF3111"/>
    <w:rsid w:val="00E0255A"/>
    <w:rsid w:val="00E04969"/>
    <w:rsid w:val="00E11886"/>
    <w:rsid w:val="00E11A2F"/>
    <w:rsid w:val="00E15791"/>
    <w:rsid w:val="00E27C81"/>
    <w:rsid w:val="00E334FA"/>
    <w:rsid w:val="00E37560"/>
    <w:rsid w:val="00E5554A"/>
    <w:rsid w:val="00E5658D"/>
    <w:rsid w:val="00E77239"/>
    <w:rsid w:val="00E85470"/>
    <w:rsid w:val="00EA4D6F"/>
    <w:rsid w:val="00EB14A8"/>
    <w:rsid w:val="00EB42B4"/>
    <w:rsid w:val="00EC5974"/>
    <w:rsid w:val="00EC7C22"/>
    <w:rsid w:val="00EC7DA4"/>
    <w:rsid w:val="00ED2C00"/>
    <w:rsid w:val="00ED5500"/>
    <w:rsid w:val="00EF5919"/>
    <w:rsid w:val="00F1318E"/>
    <w:rsid w:val="00F20319"/>
    <w:rsid w:val="00F64B23"/>
    <w:rsid w:val="00F83F1F"/>
    <w:rsid w:val="00F8442E"/>
    <w:rsid w:val="00F90314"/>
    <w:rsid w:val="00FA4306"/>
    <w:rsid w:val="00FB20FB"/>
    <w:rsid w:val="00FB3E91"/>
    <w:rsid w:val="00FD098F"/>
    <w:rsid w:val="00FE7483"/>
    <w:rsid w:val="00FE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DE66"/>
  <w15:docId w15:val="{CDB01D68-60FB-4EF0-8861-CE9E57C4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B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43"/>
    <w:pPr>
      <w:ind w:left="720"/>
      <w:contextualSpacing/>
    </w:pPr>
  </w:style>
  <w:style w:type="paragraph" w:styleId="FootnoteText">
    <w:name w:val="footnote text"/>
    <w:basedOn w:val="Normal"/>
    <w:link w:val="FootnoteTextChar"/>
    <w:uiPriority w:val="99"/>
    <w:semiHidden/>
    <w:unhideWhenUsed/>
    <w:rsid w:val="00E11A2F"/>
    <w:rPr>
      <w:sz w:val="20"/>
      <w:szCs w:val="20"/>
    </w:rPr>
  </w:style>
  <w:style w:type="character" w:customStyle="1" w:styleId="FootnoteTextChar">
    <w:name w:val="Footnote Text Char"/>
    <w:basedOn w:val="DefaultParagraphFont"/>
    <w:link w:val="FootnoteText"/>
    <w:uiPriority w:val="99"/>
    <w:semiHidden/>
    <w:rsid w:val="00E11A2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11A2F"/>
    <w:rPr>
      <w:vertAlign w:val="superscript"/>
    </w:rPr>
  </w:style>
  <w:style w:type="character" w:styleId="Hyperlink">
    <w:name w:val="Hyperlink"/>
    <w:basedOn w:val="DefaultParagraphFont"/>
    <w:uiPriority w:val="99"/>
    <w:unhideWhenUsed/>
    <w:rsid w:val="00E11A2F"/>
    <w:rPr>
      <w:color w:val="0000FF" w:themeColor="hyperlink"/>
      <w:u w:val="single"/>
    </w:rPr>
  </w:style>
  <w:style w:type="character" w:styleId="CommentReference">
    <w:name w:val="annotation reference"/>
    <w:basedOn w:val="DefaultParagraphFont"/>
    <w:uiPriority w:val="99"/>
    <w:semiHidden/>
    <w:unhideWhenUsed/>
    <w:rsid w:val="00A9654D"/>
    <w:rPr>
      <w:sz w:val="16"/>
      <w:szCs w:val="16"/>
    </w:rPr>
  </w:style>
  <w:style w:type="paragraph" w:styleId="CommentText">
    <w:name w:val="annotation text"/>
    <w:basedOn w:val="Normal"/>
    <w:link w:val="CommentTextChar"/>
    <w:uiPriority w:val="99"/>
    <w:semiHidden/>
    <w:unhideWhenUsed/>
    <w:rsid w:val="00A9654D"/>
    <w:rPr>
      <w:sz w:val="20"/>
      <w:szCs w:val="20"/>
    </w:rPr>
  </w:style>
  <w:style w:type="character" w:customStyle="1" w:styleId="CommentTextChar">
    <w:name w:val="Comment Text Char"/>
    <w:basedOn w:val="DefaultParagraphFont"/>
    <w:link w:val="CommentText"/>
    <w:uiPriority w:val="99"/>
    <w:semiHidden/>
    <w:rsid w:val="00A9654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9654D"/>
    <w:rPr>
      <w:b/>
      <w:bCs/>
    </w:rPr>
  </w:style>
  <w:style w:type="character" w:customStyle="1" w:styleId="CommentSubjectChar">
    <w:name w:val="Comment Subject Char"/>
    <w:basedOn w:val="CommentTextChar"/>
    <w:link w:val="CommentSubject"/>
    <w:uiPriority w:val="99"/>
    <w:semiHidden/>
    <w:rsid w:val="00A9654D"/>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9654D"/>
    <w:rPr>
      <w:rFonts w:ascii="Tahoma" w:hAnsi="Tahoma" w:cs="Tahoma"/>
      <w:sz w:val="16"/>
      <w:szCs w:val="16"/>
    </w:rPr>
  </w:style>
  <w:style w:type="character" w:customStyle="1" w:styleId="BalloonTextChar">
    <w:name w:val="Balloon Text Char"/>
    <w:basedOn w:val="DefaultParagraphFont"/>
    <w:link w:val="BalloonText"/>
    <w:uiPriority w:val="99"/>
    <w:semiHidden/>
    <w:rsid w:val="00A9654D"/>
    <w:rPr>
      <w:rFonts w:ascii="Tahoma" w:eastAsia="Times New Roman" w:hAnsi="Tahoma" w:cs="Tahoma"/>
      <w:sz w:val="16"/>
      <w:szCs w:val="16"/>
    </w:rPr>
  </w:style>
  <w:style w:type="paragraph" w:styleId="Revision">
    <w:name w:val="Revision"/>
    <w:hidden/>
    <w:uiPriority w:val="99"/>
    <w:semiHidden/>
    <w:rsid w:val="0078311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47134">
      <w:bodyDiv w:val="1"/>
      <w:marLeft w:val="0"/>
      <w:marRight w:val="0"/>
      <w:marTop w:val="0"/>
      <w:marBottom w:val="0"/>
      <w:divBdr>
        <w:top w:val="none" w:sz="0" w:space="0" w:color="auto"/>
        <w:left w:val="none" w:sz="0" w:space="0" w:color="auto"/>
        <w:bottom w:val="none" w:sz="0" w:space="0" w:color="auto"/>
        <w:right w:val="none" w:sz="0" w:space="0" w:color="auto"/>
      </w:divBdr>
    </w:div>
    <w:div w:id="159679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dieselnet.com/standards/eu/nonroa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babd5ee-c98c-4a9b-aa64-c82fd249b873" ContentTypeId="0x010100672A3FCA98991645BE083C320B7539B70204" PreviousValue="false"/>
</file>

<file path=customXml/item3.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DEFD863E1474D24DBE787621D3A23802" ma:contentTypeVersion="12" ma:contentTypeDescription="new Document or upload" ma:contentTypeScope="" ma:versionID="5c8c1b62556f0e33a9ba2f4b884ea1f9">
  <xsd:schema xmlns:xsd="http://www.w3.org/2001/XMLSchema" xmlns:xs="http://www.w3.org/2001/XMLSchema" xmlns:p="http://schemas.microsoft.com/office/2006/metadata/properties" xmlns:ns2="41b3ec6c-eebd-4435-b1cb-6f93f025f7d1" targetNamespace="http://schemas.microsoft.com/office/2006/metadata/properties" ma:root="true" ma:fieldsID="d50604c8b2629e67ed38deece4507ef0"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8dc3af75-a92b-4d5f-a44e-8c2f0309437d}" ma:internalName="TaxCatchAll" ma:showField="CatchAllData" ma:web="b2c3aa4f-78bd-4b8c-9d42-469d91b5b086">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8dc3af75-a92b-4d5f-a44e-8c2f0309437d}" ma:internalName="TaxCatchAllLabel" ma:readOnly="true" ma:showField="CatchAllDataLabel" ma:web="b2c3aa4f-78bd-4b8c-9d42-469d91b5b086">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94FC9-AC83-400D-BA70-D6662C554CCF}">
  <ds:schemaRefs>
    <ds:schemaRef ds:uri="http://schemas.microsoft.com/sharepoint/v3/contenttype/forms"/>
  </ds:schemaRefs>
</ds:datastoreItem>
</file>

<file path=customXml/itemProps2.xml><?xml version="1.0" encoding="utf-8"?>
<ds:datastoreItem xmlns:ds="http://schemas.openxmlformats.org/officeDocument/2006/customXml" ds:itemID="{201E4EE5-C240-4702-8BEA-5704CA14245C}">
  <ds:schemaRefs>
    <ds:schemaRef ds:uri="Microsoft.SharePoint.Taxonomy.ContentTypeSync"/>
  </ds:schemaRefs>
</ds:datastoreItem>
</file>

<file path=customXml/itemProps3.xml><?xml version="1.0" encoding="utf-8"?>
<ds:datastoreItem xmlns:ds="http://schemas.openxmlformats.org/officeDocument/2006/customXml" ds:itemID="{E1C8A4B5-288D-4537-A72D-1204E4173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BE44C1-1D5E-42D4-B0B3-49CAD66F3268}">
  <ds:schemaRefs>
    <ds:schemaRef ds:uri="http://schemas.microsoft.com/office/2006/metadata/properties"/>
    <ds:schemaRef ds:uri="http://schemas.microsoft.com/office/infopath/2007/PartnerControls"/>
    <ds:schemaRef ds:uri="41b3ec6c-eebd-4435-b1cb-6f93f025f7d1"/>
  </ds:schemaRefs>
</ds:datastoreItem>
</file>

<file path=customXml/itemProps5.xml><?xml version="1.0" encoding="utf-8"?>
<ds:datastoreItem xmlns:ds="http://schemas.openxmlformats.org/officeDocument/2006/customXml" ds:itemID="{5903537C-FF64-4120-9382-F8F3EA63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Viegas, Bruno (Defra)</dc:creator>
  <cp:lastModifiedBy>Viegas, Bruno (Defra)</cp:lastModifiedBy>
  <cp:revision>3</cp:revision>
  <cp:lastPrinted>2017-08-04T08:50:00Z</cp:lastPrinted>
  <dcterms:created xsi:type="dcterms:W3CDTF">2017-08-24T10:32:00Z</dcterms:created>
  <dcterms:modified xsi:type="dcterms:W3CDTF">2017-08-24T10:37:00Z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0x010100672A3FCA98991645BE083C320B7539B7020400DEFD863E1474D24DBE787621D3A23802</vt:lpwstr>
  </property>
  <property fmtid="{D5CDD505-2E9C-101B-9397-08002B2CF9AE}" pid="3" name="Directorate">
    <vt:lpwstr/>
  </property>
  <property fmtid="{D5CDD505-2E9C-101B-9397-08002B2CF9AE}" pid="4" name="SecurityClassification">
    <vt:lpwstr/>
  </property>
  <property fmtid="{D5CDD505-2E9C-101B-9397-08002B2CF9AE}" pid="5" name="_NewReviewCycle">
    <vt:lpwstr/>
  </property>
  <property fmtid="{D5CDD505-2E9C-101B-9397-08002B2CF9AE}" pid="6" name="Objective-Id">
    <vt:lpwstr>A18970232</vt:lpwstr>
  </property>
  <property fmtid="{D5CDD505-2E9C-101B-9397-08002B2CF9AE}" pid="7" name="Objective-Title">
    <vt:lpwstr>2017-08-16 Q and A to circulate with draft SI v0.2 - RH amended plus comments</vt:lpwstr>
  </property>
  <property fmtid="{D5CDD505-2E9C-101B-9397-08002B2CF9AE}" pid="8" name="Objective-Comment">
    <vt:lpwstr/>
  </property>
  <property fmtid="{D5CDD505-2E9C-101B-9397-08002B2CF9AE}" pid="9" name="Objective-CreationStamp">
    <vt:filetime>2017-08-14T11:26:40Z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2017-08-16T08:48:15Z</vt:filetime>
  </property>
  <property fmtid="{D5CDD505-2E9C-101B-9397-08002B2CF9AE}" pid="13" name="Objective-ModificationStamp">
    <vt:filetime>2017-08-16T08:48:33Z</vt:filetime>
  </property>
  <property fmtid="{D5CDD505-2E9C-101B-9397-08002B2CF9AE}" pid="14" name="Objective-Owner">
    <vt:lpwstr>Hockley, Ross (ESNR- Environment-People &amp; Environment)</vt:lpwstr>
  </property>
  <property fmtid="{D5CDD505-2E9C-101B-9397-08002B2CF9AE}" pid="15" name="Objective-Path">
    <vt:lpwstr>Objective Global Folder:Corporate File Plan:POLICY DEVELOPMENT &amp; REGULATION:Policy Development - Environment:Policy Development - Environmental Protection:Pollution Prevention &amp; Control - Medium and Large Combustion Plant - Proposals and Submissions - 201</vt:lpwstr>
  </property>
  <property fmtid="{D5CDD505-2E9C-101B-9397-08002B2CF9AE}" pid="16" name="Objective-Parent">
    <vt:lpwstr>Pollution Prevention &amp; Control - Medium and Large Combustion Plant - Proposals and Submissions - 2014 - 2019</vt:lpwstr>
  </property>
  <property fmtid="{D5CDD505-2E9C-101B-9397-08002B2CF9AE}" pid="17" name="Objective-State">
    <vt:lpwstr>Published</vt:lpwstr>
  </property>
  <property fmtid="{D5CDD505-2E9C-101B-9397-08002B2CF9AE}" pid="18" name="Objective-Version">
    <vt:lpwstr>1.0</vt:lpwstr>
  </property>
  <property fmtid="{D5CDD505-2E9C-101B-9397-08002B2CF9AE}" pid="19" name="Objective-VersionNumber">
    <vt:r8>4</vt:r8>
  </property>
  <property fmtid="{D5CDD505-2E9C-101B-9397-08002B2CF9AE}" pid="20" name="Objective-VersionComment">
    <vt:lpwstr/>
  </property>
  <property fmtid="{D5CDD505-2E9C-101B-9397-08002B2CF9AE}" pid="21" name="Objective-FileNumber">
    <vt:lpwstr/>
  </property>
  <property fmtid="{D5CDD505-2E9C-101B-9397-08002B2CF9AE}" pid="22" name="Objective-Classification">
    <vt:lpwstr>[Inherited - Official - Sensitive]</vt:lpwstr>
  </property>
  <property fmtid="{D5CDD505-2E9C-101B-9397-08002B2CF9AE}" pid="23" name="Objective-Caveats">
    <vt:lpwstr/>
  </property>
  <property fmtid="{D5CDD505-2E9C-101B-9397-08002B2CF9AE}" pid="24" name="Objective-Language [system]">
    <vt:lpwstr>English (eng)</vt:lpwstr>
  </property>
  <property fmtid="{D5CDD505-2E9C-101B-9397-08002B2CF9AE}" pid="25" name="Objective-Date Acquired [system]">
    <vt:filetime>2017-08-13T23:00:00Z</vt:filetime>
  </property>
  <property fmtid="{D5CDD505-2E9C-101B-9397-08002B2CF9AE}" pid="26" name="Objective-What to Keep [system]">
    <vt:lpwstr>No</vt:lpwstr>
  </property>
  <property fmtid="{D5CDD505-2E9C-101B-9397-08002B2CF9AE}" pid="27" name="Objective-Official Translation [system]">
    <vt:lpwstr/>
  </property>
  <property fmtid="{D5CDD505-2E9C-101B-9397-08002B2CF9AE}" pid="28" name="Objective-Connect Creator [system]">
    <vt:lpwstr/>
  </property>
  <property fmtid="{D5CDD505-2E9C-101B-9397-08002B2CF9AE}" pid="29" name="_AdHocReviewCycleID">
    <vt:i4>-430171909</vt:i4>
  </property>
  <property fmtid="{D5CDD505-2E9C-101B-9397-08002B2CF9AE}" pid="30" name="_EmailSubject">
    <vt:lpwstr>Draft legislation and Q&amp;A for MCPD and generator controls</vt:lpwstr>
  </property>
  <property fmtid="{D5CDD505-2E9C-101B-9397-08002B2CF9AE}" pid="31" name="_AuthorEmail">
    <vt:lpwstr>bruno.viegas@defra.gsi.gov.uk</vt:lpwstr>
  </property>
  <property fmtid="{D5CDD505-2E9C-101B-9397-08002B2CF9AE}" pid="32" name="_AuthorEmailDisplayName">
    <vt:lpwstr>Viegas, Bruno (Defra)</vt:lpwstr>
  </property>
</Properties>
</file>